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270BE" w:rsidRDefault="00000000">
      <w:pPr>
        <w:pStyle w:val="1"/>
        <w:spacing w:line="360" w:lineRule="auto"/>
        <w:ind w:firstLineChars="0" w:firstLine="0"/>
        <w:rPr>
          <w:rFonts w:ascii="Arial" w:eastAsia="黑体" w:hAnsi="Arial" w:cs="Arial"/>
          <w:b/>
          <w:color w:val="003595"/>
          <w:sz w:val="52"/>
          <w:szCs w:val="52"/>
        </w:rPr>
      </w:pPr>
      <w:r>
        <w:rPr>
          <w:noProof/>
        </w:rPr>
        <w:drawing>
          <wp:inline distT="0" distB="0" distL="114300" distR="114300">
            <wp:extent cx="1327785" cy="472440"/>
            <wp:effectExtent l="0" t="0" r="5715" b="10160"/>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9"/>
                    <a:stretch>
                      <a:fillRect/>
                    </a:stretch>
                  </pic:blipFill>
                  <pic:spPr>
                    <a:xfrm>
                      <a:off x="0" y="0"/>
                      <a:ext cx="1327785" cy="472440"/>
                    </a:xfrm>
                    <a:prstGeom prst="rect">
                      <a:avLst/>
                    </a:prstGeom>
                    <a:noFill/>
                    <a:ln w="9525">
                      <a:noFill/>
                    </a:ln>
                  </pic:spPr>
                </pic:pic>
              </a:graphicData>
            </a:graphic>
          </wp:inline>
        </w:drawing>
      </w:r>
      <w:r>
        <w:rPr>
          <w:rFonts w:hint="eastAsia"/>
          <w:noProof/>
          <w:szCs w:val="21"/>
        </w:rPr>
        <w:drawing>
          <wp:anchor distT="0" distB="0" distL="114300" distR="114300" simplePos="0" relativeHeight="251662336" behindDoc="1" locked="0" layoutInCell="1" allowOverlap="1">
            <wp:simplePos x="0" y="0"/>
            <wp:positionH relativeFrom="column">
              <wp:posOffset>-741045</wp:posOffset>
            </wp:positionH>
            <wp:positionV relativeFrom="page">
              <wp:posOffset>-393700</wp:posOffset>
            </wp:positionV>
            <wp:extent cx="7573010" cy="1454150"/>
            <wp:effectExtent l="0" t="0" r="0" b="20320"/>
            <wp:wrapNone/>
            <wp:docPr id="4" name="图片 1" descr="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未标题-1.png"/>
                    <pic:cNvPicPr>
                      <a:picLocks noChangeAspect="1"/>
                    </pic:cNvPicPr>
                  </pic:nvPicPr>
                  <pic:blipFill>
                    <a:blip r:embed="rId10"/>
                    <a:srcRect b="35717"/>
                    <a:stretch>
                      <a:fillRect/>
                    </a:stretch>
                  </pic:blipFill>
                  <pic:spPr>
                    <a:xfrm>
                      <a:off x="0" y="0"/>
                      <a:ext cx="7573010" cy="1459308"/>
                    </a:xfrm>
                    <a:prstGeom prst="rect">
                      <a:avLst/>
                    </a:prstGeom>
                    <a:ln>
                      <a:noFill/>
                    </a:ln>
                  </pic:spPr>
                </pic:pic>
              </a:graphicData>
            </a:graphic>
          </wp:anchor>
        </w:drawing>
      </w:r>
      <w:r>
        <w:rPr>
          <w:rFonts w:ascii="微软雅黑" w:eastAsia="微软雅黑" w:hAnsi="微软雅黑" w:cs="Hannotate SC Regular" w:hint="eastAsia"/>
          <w:bCs/>
          <w:noProof/>
          <w:sz w:val="21"/>
          <w:szCs w:val="21"/>
        </w:rPr>
        <w:drawing>
          <wp:anchor distT="0" distB="0" distL="114300" distR="114300" simplePos="0" relativeHeight="251661312" behindDoc="0" locked="0" layoutInCell="1" allowOverlap="1">
            <wp:simplePos x="0" y="0"/>
            <wp:positionH relativeFrom="column">
              <wp:posOffset>-2197100</wp:posOffset>
            </wp:positionH>
            <wp:positionV relativeFrom="page">
              <wp:posOffset>-5380355</wp:posOffset>
            </wp:positionV>
            <wp:extent cx="8387080" cy="1569085"/>
            <wp:effectExtent l="0" t="0" r="0" b="5715"/>
            <wp:wrapNone/>
            <wp:docPr id="15" name="图片 15" descr="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未标题-1.png"/>
                    <pic:cNvPicPr>
                      <a:picLocks noChangeAspect="1"/>
                    </pic:cNvPicPr>
                  </pic:nvPicPr>
                  <pic:blipFill>
                    <a:blip r:embed="rId10"/>
                    <a:srcRect b="35717"/>
                    <a:stretch>
                      <a:fillRect/>
                    </a:stretch>
                  </pic:blipFill>
                  <pic:spPr>
                    <a:xfrm>
                      <a:off x="0" y="0"/>
                      <a:ext cx="8387229" cy="1569226"/>
                    </a:xfrm>
                    <a:prstGeom prst="rect">
                      <a:avLst/>
                    </a:prstGeom>
                    <a:ln>
                      <a:noFill/>
                    </a:ln>
                  </pic:spPr>
                </pic:pic>
              </a:graphicData>
            </a:graphic>
          </wp:anchor>
        </w:drawing>
      </w:r>
      <w:r>
        <w:rPr>
          <w:rFonts w:ascii="Arial" w:eastAsia="黑体" w:hAnsi="Arial" w:cs="Arial"/>
          <w:b/>
          <w:color w:val="003595"/>
          <w:sz w:val="52"/>
          <w:szCs w:val="52"/>
        </w:rPr>
        <w:tab/>
      </w:r>
    </w:p>
    <w:p w:rsidR="000270BE" w:rsidRDefault="00000000">
      <w:pPr>
        <w:spacing w:line="360" w:lineRule="auto"/>
        <w:jc w:val="center"/>
        <w:rPr>
          <w:rFonts w:ascii="微软雅黑" w:eastAsia="微软雅黑" w:hAnsi="微软雅黑" w:cs="Arial" w:hint="eastAsia"/>
          <w:b/>
          <w:color w:val="003595"/>
          <w:sz w:val="52"/>
          <w:szCs w:val="52"/>
        </w:rPr>
      </w:pPr>
      <w:r>
        <w:rPr>
          <w:rFonts w:ascii="微软雅黑" w:eastAsia="微软雅黑" w:hAnsi="微软雅黑" w:cs="Arial" w:hint="eastAsia"/>
          <w:b/>
          <w:color w:val="003595"/>
          <w:sz w:val="52"/>
          <w:szCs w:val="52"/>
        </w:rPr>
        <w:t>深信服</w:t>
      </w:r>
      <w:r>
        <w:rPr>
          <w:rFonts w:ascii="微软雅黑" w:eastAsia="微软雅黑" w:hAnsi="微软雅黑" w:cs="Arial"/>
          <w:b/>
          <w:color w:val="003595"/>
          <w:sz w:val="52"/>
          <w:szCs w:val="52"/>
        </w:rPr>
        <w:t>超融合</w:t>
      </w:r>
      <w:r>
        <w:rPr>
          <w:rFonts w:ascii="微软雅黑" w:eastAsia="微软雅黑" w:hAnsi="微软雅黑" w:cs="Arial" w:hint="eastAsia"/>
          <w:b/>
          <w:color w:val="003595"/>
          <w:sz w:val="52"/>
          <w:szCs w:val="52"/>
        </w:rPr>
        <w:t>方案彩页</w:t>
      </w:r>
    </w:p>
    <w:p w:rsidR="000270BE" w:rsidRDefault="00000000">
      <w:pPr>
        <w:spacing w:line="360" w:lineRule="auto"/>
        <w:rPr>
          <w:rFonts w:ascii="微软雅黑" w:eastAsia="微软雅黑" w:hAnsi="微软雅黑" w:hint="eastAsia"/>
          <w:sz w:val="21"/>
          <w:szCs w:val="21"/>
        </w:rPr>
      </w:pPr>
      <w:r>
        <w:rPr>
          <w:rFonts w:ascii="微软雅黑" w:eastAsia="微软雅黑" w:hAnsi="微软雅黑"/>
          <w:noProof/>
          <w:sz w:val="21"/>
          <w:szCs w:val="21"/>
        </w:rPr>
        <mc:AlternateContent>
          <mc:Choice Requires="wps">
            <w:drawing>
              <wp:anchor distT="0" distB="0" distL="114300" distR="114300" simplePos="0" relativeHeight="251660288" behindDoc="0" locked="0" layoutInCell="1" allowOverlap="1">
                <wp:simplePos x="0" y="0"/>
                <wp:positionH relativeFrom="page">
                  <wp:posOffset>5467985</wp:posOffset>
                </wp:positionH>
                <wp:positionV relativeFrom="page">
                  <wp:posOffset>9999345</wp:posOffset>
                </wp:positionV>
                <wp:extent cx="635" cy="571500"/>
                <wp:effectExtent l="0" t="0" r="50165" b="12700"/>
                <wp:wrapNone/>
                <wp:docPr id="20"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1500"/>
                        </a:xfrm>
                        <a:prstGeom prst="straightConnector1">
                          <a:avLst/>
                        </a:prstGeom>
                        <a:noFill/>
                        <a:ln w="9525">
                          <a:solidFill>
                            <a:srgbClr val="FFFFFF"/>
                          </a:solidFill>
                          <a:round/>
                        </a:ln>
                      </wps:spPr>
                      <wps:bodyPr/>
                    </wps:wsp>
                  </a:graphicData>
                </a:graphic>
              </wp:anchor>
            </w:drawing>
          </mc:Choice>
          <mc:Fallback xmlns:wpsCustomData="http://www.wps.cn/officeDocument/2013/wpsCustomData">
            <w:pict>
              <v:shape id="Straight Connector 28" o:spid="_x0000_s1026" o:spt="32" type="#_x0000_t32" style="position:absolute;left:0pt;margin-left:430.55pt;margin-top:787.35pt;height:45pt;width:0.05pt;mso-position-horizontal-relative:page;mso-position-vertical-relative:page;z-index:251660288;mso-width-relative:page;mso-height-relative:page;" filled="f" stroked="t" coordsize="21600,21600" o:gfxdata="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Zs67rYAAAADQEAAA8AAAAA&#10;AAAAAQAgAAAAIgAAAGRycy9kb3ducmV2LnhtbFBLAQIUABQAAAAIAIdO4kCU/88N2wEAAL4DAAAO&#10;AAAAAAAAAAEAIAAAACcBAABkcnMvZTJvRG9jLnhtbFBLBQYAAAAABgAGAFkBAAB0BQAAAAA=&#10;">
                <v:fill on="f" focussize="0,0"/>
                <v:stroke color="#FFFFFF" joinstyle="round"/>
                <v:imagedata o:title=""/>
                <o:lock v:ext="edit" aspectratio="f"/>
              </v:shape>
            </w:pict>
          </mc:Fallback>
        </mc:AlternateContent>
      </w:r>
    </w:p>
    <w:p w:rsidR="000270BE" w:rsidRDefault="00000000">
      <w:pPr>
        <w:spacing w:line="360" w:lineRule="auto"/>
        <w:rPr>
          <w:rFonts w:ascii="微软雅黑" w:eastAsia="微软雅黑" w:hAnsi="微软雅黑" w:hint="eastAsia"/>
          <w:b/>
          <w:color w:val="1F497D"/>
          <w:sz w:val="28"/>
          <w:szCs w:val="28"/>
        </w:rPr>
      </w:pPr>
      <w:r>
        <w:rPr>
          <w:rFonts w:ascii="微软雅黑" w:eastAsia="微软雅黑" w:hAnsi="微软雅黑" w:hint="eastAsia"/>
          <w:b/>
          <w:color w:val="1F497D"/>
          <w:sz w:val="28"/>
          <w:szCs w:val="28"/>
        </w:rPr>
        <w:t>深信服</w:t>
      </w:r>
      <w:r>
        <w:rPr>
          <w:rFonts w:ascii="微软雅黑" w:eastAsia="微软雅黑" w:hAnsi="微软雅黑"/>
          <w:b/>
          <w:color w:val="1F497D"/>
          <w:sz w:val="28"/>
          <w:szCs w:val="28"/>
        </w:rPr>
        <w:t>超融合</w:t>
      </w:r>
      <w:r>
        <w:rPr>
          <w:rFonts w:ascii="微软雅黑" w:eastAsia="微软雅黑" w:hAnsi="微软雅黑" w:hint="eastAsia"/>
          <w:b/>
          <w:color w:val="1F497D"/>
          <w:sz w:val="28"/>
          <w:szCs w:val="28"/>
        </w:rPr>
        <w:t>方案介绍</w:t>
      </w:r>
    </w:p>
    <w:p w:rsidR="000270BE" w:rsidRDefault="00000000">
      <w:pPr>
        <w:numPr>
          <w:ilvl w:val="0"/>
          <w:numId w:val="1"/>
        </w:numPr>
        <w:autoSpaceDE w:val="0"/>
        <w:autoSpaceDN w:val="0"/>
        <w:adjustRightInd w:val="0"/>
        <w:spacing w:line="360" w:lineRule="auto"/>
        <w:rPr>
          <w:rFonts w:ascii="微软雅黑" w:eastAsia="微软雅黑" w:hAnsi="微软雅黑" w:cs="Hannotate SC Regular" w:hint="eastAsia"/>
          <w:b/>
          <w:sz w:val="21"/>
          <w:szCs w:val="21"/>
        </w:rPr>
      </w:pPr>
      <w:r>
        <w:rPr>
          <w:rFonts w:ascii="微软雅黑" w:eastAsia="微软雅黑" w:hAnsi="微软雅黑" w:cs="Hannotate SC Regular" w:hint="eastAsia"/>
          <w:b/>
          <w:sz w:val="21"/>
          <w:szCs w:val="21"/>
        </w:rPr>
        <w:t>软件定义数据中心</w:t>
      </w:r>
    </w:p>
    <w:p w:rsidR="000270BE" w:rsidRDefault="00000000">
      <w:pPr>
        <w:spacing w:line="360" w:lineRule="auto"/>
        <w:rPr>
          <w:rFonts w:ascii="微软雅黑" w:eastAsia="微软雅黑" w:hAnsi="微软雅黑" w:cs="Hannotate SC Regular" w:hint="eastAsia"/>
          <w:sz w:val="21"/>
          <w:szCs w:val="21"/>
        </w:rPr>
      </w:pPr>
      <w:r>
        <w:rPr>
          <w:rFonts w:ascii="微软雅黑" w:eastAsia="微软雅黑" w:hAnsi="微软雅黑" w:cs="Hannotate SC Regular" w:hint="eastAsia"/>
          <w:sz w:val="21"/>
          <w:szCs w:val="21"/>
        </w:rPr>
        <w:t>深信服超融合</w:t>
      </w:r>
      <w:proofErr w:type="spellStart"/>
      <w:r>
        <w:rPr>
          <w:rFonts w:ascii="微软雅黑" w:eastAsia="微软雅黑" w:hAnsi="微软雅黑" w:cs="Hannotate SC Regular" w:hint="eastAsia"/>
          <w:sz w:val="21"/>
          <w:szCs w:val="21"/>
        </w:rPr>
        <w:t>Sangfor</w:t>
      </w:r>
      <w:proofErr w:type="spellEnd"/>
      <w:r>
        <w:rPr>
          <w:rFonts w:ascii="微软雅黑" w:eastAsia="微软雅黑" w:hAnsi="微软雅黑" w:cs="Hannotate SC Regular"/>
          <w:sz w:val="21"/>
          <w:szCs w:val="21"/>
        </w:rPr>
        <w:t xml:space="preserve"> HCI</w:t>
      </w:r>
      <w:r>
        <w:rPr>
          <w:rFonts w:ascii="微软雅黑" w:eastAsia="微软雅黑" w:hAnsi="微软雅黑" w:cs="Hannotate SC Regular" w:hint="eastAsia"/>
          <w:sz w:val="21"/>
          <w:szCs w:val="21"/>
        </w:rPr>
        <w:t>是面向下一代数据中心的软件定义基础架构，通过虚拟化技术融合计算、存储、网络和安全等资源，并提供容灾备份、运维管理、智能监控等高级特性，帮助用户构建</w:t>
      </w:r>
      <w:proofErr w:type="gramStart"/>
      <w:r>
        <w:rPr>
          <w:rFonts w:ascii="微软雅黑" w:eastAsia="微软雅黑" w:hAnsi="微软雅黑" w:cs="Hannotate SC Regular" w:hint="eastAsia"/>
          <w:sz w:val="21"/>
          <w:szCs w:val="21"/>
        </w:rPr>
        <w:t>极</w:t>
      </w:r>
      <w:proofErr w:type="gramEnd"/>
      <w:r>
        <w:rPr>
          <w:rFonts w:ascii="微软雅黑" w:eastAsia="微软雅黑" w:hAnsi="微软雅黑" w:cs="Hannotate SC Regular" w:hint="eastAsia"/>
          <w:sz w:val="21"/>
          <w:szCs w:val="21"/>
        </w:rPr>
        <w:t>简、稳定、高性能的</w:t>
      </w:r>
      <w:proofErr w:type="gramStart"/>
      <w:r>
        <w:rPr>
          <w:rFonts w:ascii="微软雅黑" w:eastAsia="微软雅黑" w:hAnsi="微软雅黑" w:cs="Hannotate SC Regular" w:hint="eastAsia"/>
          <w:sz w:val="21"/>
          <w:szCs w:val="21"/>
        </w:rPr>
        <w:t>云化数据</w:t>
      </w:r>
      <w:proofErr w:type="gramEnd"/>
      <w:r>
        <w:rPr>
          <w:rFonts w:ascii="微软雅黑" w:eastAsia="微软雅黑" w:hAnsi="微软雅黑" w:cs="Hannotate SC Regular" w:hint="eastAsia"/>
          <w:sz w:val="21"/>
          <w:szCs w:val="21"/>
        </w:rPr>
        <w:t>中心基石。</w:t>
      </w:r>
    </w:p>
    <w:p w:rsidR="000270BE" w:rsidRDefault="00000000">
      <w:pPr>
        <w:spacing w:line="360" w:lineRule="auto"/>
        <w:jc w:val="center"/>
        <w:rPr>
          <w:rFonts w:ascii="微软雅黑" w:eastAsia="微软雅黑" w:hAnsi="微软雅黑" w:cs="Hannotate SC Regular" w:hint="eastAsia"/>
          <w:sz w:val="21"/>
          <w:szCs w:val="21"/>
        </w:rPr>
      </w:pPr>
      <w:r>
        <w:rPr>
          <w:noProof/>
        </w:rPr>
        <w:drawing>
          <wp:inline distT="0" distB="0" distL="114300" distR="114300">
            <wp:extent cx="3122930" cy="1613535"/>
            <wp:effectExtent l="0" t="0" r="127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3197717" cy="1652067"/>
                    </a:xfrm>
                    <a:prstGeom prst="rect">
                      <a:avLst/>
                    </a:prstGeom>
                    <a:noFill/>
                    <a:ln w="9525">
                      <a:noFill/>
                    </a:ln>
                  </pic:spPr>
                </pic:pic>
              </a:graphicData>
            </a:graphic>
          </wp:inline>
        </w:drawing>
      </w:r>
    </w:p>
    <w:p w:rsidR="000270BE" w:rsidRDefault="00000000">
      <w:pPr>
        <w:spacing w:line="360" w:lineRule="auto"/>
        <w:rPr>
          <w:rFonts w:ascii="微软雅黑" w:eastAsia="微软雅黑" w:hAnsi="微软雅黑" w:cs="Hannotate SC Regular" w:hint="eastAsia"/>
          <w:sz w:val="21"/>
          <w:szCs w:val="21"/>
        </w:rPr>
      </w:pPr>
      <w:r>
        <w:rPr>
          <w:rFonts w:ascii="微软雅黑" w:eastAsia="微软雅黑" w:hAnsi="微软雅黑" w:cs="Hannotate SC Regular" w:hint="eastAsia"/>
          <w:sz w:val="21"/>
          <w:szCs w:val="21"/>
        </w:rPr>
        <w:t>数据中心只需少量的网络设备结合超融合一体机，即可完成IT构建，无需</w:t>
      </w:r>
      <w:proofErr w:type="gramStart"/>
      <w:r>
        <w:rPr>
          <w:rFonts w:ascii="微软雅黑" w:eastAsia="微软雅黑" w:hAnsi="微软雅黑" w:cs="Hannotate SC Regular" w:hint="eastAsia"/>
          <w:sz w:val="21"/>
          <w:szCs w:val="21"/>
        </w:rPr>
        <w:t>独立部署</w:t>
      </w:r>
      <w:proofErr w:type="gramEnd"/>
      <w:r>
        <w:rPr>
          <w:rFonts w:ascii="微软雅黑" w:eastAsia="微软雅黑" w:hAnsi="微软雅黑" w:cs="Hannotate SC Regular" w:hint="eastAsia"/>
          <w:sz w:val="21"/>
          <w:szCs w:val="21"/>
        </w:rPr>
        <w:t>网络、存储等系统。</w:t>
      </w:r>
    </w:p>
    <w:p w:rsidR="000270BE" w:rsidRDefault="00000000">
      <w:pPr>
        <w:spacing w:line="360" w:lineRule="auto"/>
        <w:jc w:val="center"/>
        <w:rPr>
          <w:rFonts w:ascii="微软雅黑" w:eastAsia="微软雅黑" w:hAnsi="微软雅黑" w:cs="Hannotate SC Regular" w:hint="eastAsia"/>
          <w:sz w:val="21"/>
          <w:szCs w:val="21"/>
        </w:rPr>
      </w:pPr>
      <w:r>
        <w:rPr>
          <w:rFonts w:ascii="微软雅黑" w:eastAsia="微软雅黑" w:hAnsi="微软雅黑" w:cs="Hannotate SC Regular"/>
          <w:noProof/>
          <w:sz w:val="21"/>
          <w:szCs w:val="21"/>
        </w:rPr>
        <w:drawing>
          <wp:inline distT="0" distB="0" distL="0" distR="0">
            <wp:extent cx="5382895" cy="2358390"/>
            <wp:effectExtent l="0" t="0" r="825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383472" cy="2358999"/>
                    </a:xfrm>
                    <a:prstGeom prst="rect">
                      <a:avLst/>
                    </a:prstGeom>
                  </pic:spPr>
                </pic:pic>
              </a:graphicData>
            </a:graphic>
          </wp:inline>
        </w:drawing>
      </w:r>
    </w:p>
    <w:p w:rsidR="000270BE" w:rsidRDefault="00000000">
      <w:pPr>
        <w:numPr>
          <w:ilvl w:val="0"/>
          <w:numId w:val="1"/>
        </w:numPr>
        <w:autoSpaceDE w:val="0"/>
        <w:autoSpaceDN w:val="0"/>
        <w:adjustRightInd w:val="0"/>
        <w:spacing w:line="360" w:lineRule="auto"/>
        <w:rPr>
          <w:rFonts w:ascii="微软雅黑" w:eastAsia="微软雅黑" w:hAnsi="微软雅黑" w:cs="Hannotate SC Regular" w:hint="eastAsia"/>
          <w:b/>
          <w:sz w:val="21"/>
          <w:szCs w:val="21"/>
        </w:rPr>
      </w:pPr>
      <w:r>
        <w:rPr>
          <w:rFonts w:ascii="微软雅黑" w:eastAsia="微软雅黑" w:hAnsi="微软雅黑" w:cs="Hannotate SC Regular"/>
          <w:noProof/>
          <w:sz w:val="21"/>
          <w:szCs w:val="21"/>
        </w:rPr>
        <w:lastRenderedPageBreak/>
        <w:drawing>
          <wp:anchor distT="0" distB="0" distL="114300" distR="114300" simplePos="0" relativeHeight="251665408" behindDoc="0" locked="0" layoutInCell="1" allowOverlap="1">
            <wp:simplePos x="0" y="0"/>
            <wp:positionH relativeFrom="column">
              <wp:posOffset>3155315</wp:posOffset>
            </wp:positionH>
            <wp:positionV relativeFrom="paragraph">
              <wp:posOffset>382905</wp:posOffset>
            </wp:positionV>
            <wp:extent cx="3096260" cy="1638935"/>
            <wp:effectExtent l="38100" t="38100" r="104775" b="94615"/>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3096000" cy="1638947"/>
                    </a:xfrm>
                    <a:prstGeom prst="rect">
                      <a:avLst/>
                    </a:prstGeom>
                    <a:effectLst>
                      <a:outerShdw blurRad="50800" dist="38100" dir="2700000" algn="tl" rotWithShape="0">
                        <a:prstClr val="black">
                          <a:alpha val="40000"/>
                        </a:prstClr>
                      </a:outerShdw>
                    </a:effectLst>
                  </pic:spPr>
                </pic:pic>
              </a:graphicData>
            </a:graphic>
          </wp:anchor>
        </w:drawing>
      </w:r>
      <w:r>
        <w:rPr>
          <w:rFonts w:ascii="微软雅黑" w:eastAsia="微软雅黑" w:hAnsi="微软雅黑" w:cs="Hannotate SC Regular" w:hint="eastAsia"/>
          <w:b/>
          <w:sz w:val="21"/>
          <w:szCs w:val="21"/>
        </w:rPr>
        <w:t>所画即所得的数据中心</w:t>
      </w:r>
    </w:p>
    <w:p w:rsidR="000270BE" w:rsidRDefault="00000000">
      <w:pPr>
        <w:spacing w:line="360" w:lineRule="auto"/>
        <w:rPr>
          <w:rFonts w:ascii="微软雅黑" w:eastAsia="微软雅黑" w:hAnsi="微软雅黑" w:cs="Hannotate SC Regular" w:hint="eastAsia"/>
          <w:sz w:val="21"/>
          <w:szCs w:val="21"/>
        </w:rPr>
      </w:pPr>
      <w:r>
        <w:rPr>
          <w:rFonts w:ascii="微软雅黑" w:eastAsia="微软雅黑" w:hAnsi="微软雅黑" w:cs="Hannotate SC Regular" w:hint="eastAsia"/>
          <w:sz w:val="21"/>
          <w:szCs w:val="21"/>
        </w:rPr>
        <w:t>深信服超融合管理平台提供“所画即所得”的方式，并提供</w:t>
      </w:r>
      <w:proofErr w:type="spellStart"/>
      <w:r>
        <w:rPr>
          <w:rFonts w:ascii="微软雅黑" w:eastAsia="微软雅黑" w:hAnsi="微软雅黑" w:cs="Hannotate SC Regular" w:hint="eastAsia"/>
          <w:sz w:val="21"/>
          <w:szCs w:val="21"/>
        </w:rPr>
        <w:t>vSwitch</w:t>
      </w:r>
      <w:proofErr w:type="spellEnd"/>
      <w:r>
        <w:rPr>
          <w:rFonts w:ascii="微软雅黑" w:eastAsia="微软雅黑" w:hAnsi="微软雅黑" w:cs="Hannotate SC Regular" w:hint="eastAsia"/>
          <w:sz w:val="21"/>
          <w:szCs w:val="21"/>
        </w:rPr>
        <w:t>、</w:t>
      </w:r>
      <w:proofErr w:type="spellStart"/>
      <w:r>
        <w:rPr>
          <w:rFonts w:ascii="微软雅黑" w:eastAsia="微软雅黑" w:hAnsi="微软雅黑" w:cs="Hannotate SC Regular" w:hint="eastAsia"/>
          <w:sz w:val="21"/>
          <w:szCs w:val="21"/>
        </w:rPr>
        <w:t>vRoute</w:t>
      </w:r>
      <w:proofErr w:type="spellEnd"/>
      <w:r>
        <w:rPr>
          <w:rFonts w:ascii="微软雅黑" w:eastAsia="微软雅黑" w:hAnsi="微软雅黑" w:cs="Hannotate SC Regular" w:hint="eastAsia"/>
          <w:sz w:val="21"/>
          <w:szCs w:val="21"/>
        </w:rPr>
        <w:t>、</w:t>
      </w:r>
      <w:proofErr w:type="spellStart"/>
      <w:r>
        <w:rPr>
          <w:rFonts w:ascii="微软雅黑" w:eastAsia="微软雅黑" w:hAnsi="微软雅黑" w:cs="Hannotate SC Regular" w:hint="eastAsia"/>
          <w:sz w:val="21"/>
          <w:szCs w:val="21"/>
        </w:rPr>
        <w:t>vAF</w:t>
      </w:r>
      <w:proofErr w:type="spellEnd"/>
      <w:r>
        <w:rPr>
          <w:rFonts w:ascii="微软雅黑" w:eastAsia="微软雅黑" w:hAnsi="微软雅黑" w:cs="Hannotate SC Regular" w:hint="eastAsia"/>
          <w:sz w:val="21"/>
          <w:szCs w:val="21"/>
        </w:rPr>
        <w:t>、</w:t>
      </w:r>
      <w:proofErr w:type="spellStart"/>
      <w:r>
        <w:rPr>
          <w:rFonts w:ascii="微软雅黑" w:eastAsia="微软雅黑" w:hAnsi="微软雅黑" w:cs="Hannotate SC Regular" w:hint="eastAsia"/>
          <w:sz w:val="21"/>
          <w:szCs w:val="21"/>
        </w:rPr>
        <w:t>vAD</w:t>
      </w:r>
      <w:proofErr w:type="spellEnd"/>
      <w:r>
        <w:rPr>
          <w:rFonts w:ascii="微软雅黑" w:eastAsia="微软雅黑" w:hAnsi="微软雅黑" w:cs="Hannotate SC Regular" w:hint="eastAsia"/>
          <w:sz w:val="21"/>
          <w:szCs w:val="21"/>
        </w:rPr>
        <w:t>等网络设备模板。管理人员通过鼠标的拖拽，即可创建网络和安全设备，快速实现网络搭建。</w:t>
      </w:r>
    </w:p>
    <w:p w:rsidR="000270BE" w:rsidRDefault="00000000">
      <w:pPr>
        <w:numPr>
          <w:ilvl w:val="0"/>
          <w:numId w:val="1"/>
        </w:numPr>
        <w:autoSpaceDE w:val="0"/>
        <w:autoSpaceDN w:val="0"/>
        <w:adjustRightInd w:val="0"/>
        <w:spacing w:line="360" w:lineRule="auto"/>
        <w:rPr>
          <w:rFonts w:ascii="微软雅黑" w:eastAsia="微软雅黑" w:hAnsi="微软雅黑" w:cs="Hannotate SC Regular" w:hint="eastAsia"/>
          <w:b/>
          <w:sz w:val="21"/>
          <w:szCs w:val="21"/>
        </w:rPr>
      </w:pPr>
      <w:r>
        <w:rPr>
          <w:rFonts w:ascii="微软雅黑" w:eastAsia="微软雅黑" w:hAnsi="微软雅黑" w:cs="Hannotate SC Regular" w:hint="eastAsia"/>
          <w:b/>
          <w:sz w:val="21"/>
          <w:szCs w:val="21"/>
        </w:rPr>
        <w:t>可视化的数据中心</w:t>
      </w:r>
    </w:p>
    <w:p w:rsidR="000270BE" w:rsidRDefault="00000000">
      <w:pPr>
        <w:spacing w:line="360" w:lineRule="auto"/>
        <w:rPr>
          <w:rFonts w:ascii="微软雅黑" w:eastAsia="微软雅黑" w:hAnsi="微软雅黑" w:cs="Hannotate SC Regular" w:hint="eastAsia"/>
          <w:sz w:val="21"/>
          <w:szCs w:val="21"/>
        </w:rPr>
      </w:pPr>
      <w:r>
        <w:rPr>
          <w:rFonts w:ascii="微软雅黑" w:eastAsia="微软雅黑" w:hAnsi="微软雅黑" w:cs="Hannotate SC Regular"/>
          <w:noProof/>
          <w:sz w:val="21"/>
          <w:szCs w:val="21"/>
        </w:rPr>
        <w:drawing>
          <wp:anchor distT="0" distB="0" distL="114300" distR="114300" simplePos="0" relativeHeight="251666432" behindDoc="0" locked="0" layoutInCell="1" allowOverlap="1">
            <wp:simplePos x="0" y="0"/>
            <wp:positionH relativeFrom="column">
              <wp:posOffset>3154045</wp:posOffset>
            </wp:positionH>
            <wp:positionV relativeFrom="paragraph">
              <wp:posOffset>134620</wp:posOffset>
            </wp:positionV>
            <wp:extent cx="3095625" cy="1560830"/>
            <wp:effectExtent l="38100" t="38100" r="104775" b="9652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3095625" cy="1560830"/>
                    </a:xfrm>
                    <a:prstGeom prst="rect">
                      <a:avLst/>
                    </a:prstGeom>
                    <a:effectLst>
                      <a:outerShdw blurRad="50800" dist="38100" dir="2700000" algn="tl" rotWithShape="0">
                        <a:prstClr val="black">
                          <a:alpha val="40000"/>
                        </a:prstClr>
                      </a:outerShdw>
                    </a:effectLst>
                  </pic:spPr>
                </pic:pic>
              </a:graphicData>
            </a:graphic>
          </wp:anchor>
        </w:drawing>
      </w:r>
      <w:r>
        <w:rPr>
          <w:rFonts w:ascii="微软雅黑" w:eastAsia="微软雅黑" w:hAnsi="微软雅黑" w:cs="Hannotate SC Regular" w:hint="eastAsia"/>
          <w:sz w:val="21"/>
          <w:szCs w:val="21"/>
        </w:rPr>
        <w:t>深信服超融合方案提供智能故障定位技术，当业务发生故障时，可通过故障检测工具快速定位网络故障的节点。同时可以清晰地展示虚拟机、虚拟网络间流量，实时获取数据中心业务状态。</w:t>
      </w:r>
    </w:p>
    <w:p w:rsidR="000270BE" w:rsidRDefault="00000000">
      <w:pPr>
        <w:numPr>
          <w:ilvl w:val="0"/>
          <w:numId w:val="1"/>
        </w:numPr>
        <w:autoSpaceDE w:val="0"/>
        <w:autoSpaceDN w:val="0"/>
        <w:adjustRightInd w:val="0"/>
        <w:spacing w:line="360" w:lineRule="auto"/>
        <w:rPr>
          <w:rFonts w:ascii="微软雅黑" w:eastAsia="微软雅黑" w:hAnsi="微软雅黑" w:cs="Hannotate SC Regular" w:hint="eastAsia"/>
          <w:sz w:val="21"/>
          <w:szCs w:val="21"/>
        </w:rPr>
      </w:pPr>
      <w:r>
        <w:rPr>
          <w:rFonts w:ascii="微软雅黑" w:eastAsia="微软雅黑" w:hAnsi="微软雅黑" w:cs="Hannotate SC Regular" w:hint="eastAsia"/>
          <w:b/>
          <w:sz w:val="21"/>
          <w:szCs w:val="21"/>
        </w:rPr>
        <w:t>平滑弹性的数据中心</w:t>
      </w:r>
    </w:p>
    <w:p w:rsidR="000270BE" w:rsidRDefault="00000000">
      <w:pPr>
        <w:autoSpaceDE w:val="0"/>
        <w:autoSpaceDN w:val="0"/>
        <w:adjustRightInd w:val="0"/>
        <w:spacing w:line="360" w:lineRule="auto"/>
        <w:rPr>
          <w:rFonts w:ascii="微软雅黑" w:eastAsia="微软雅黑" w:hAnsi="微软雅黑" w:cs="Hannotate SC Regular" w:hint="eastAsia"/>
          <w:sz w:val="21"/>
          <w:szCs w:val="21"/>
        </w:rPr>
      </w:pPr>
      <w:r>
        <w:rPr>
          <w:rFonts w:ascii="微软雅黑" w:eastAsia="微软雅黑" w:hAnsi="微软雅黑" w:cs="Hannotate SC Regular" w:hint="eastAsia"/>
          <w:sz w:val="21"/>
          <w:szCs w:val="21"/>
        </w:rPr>
        <w:t>深信服超融合方案解决了传统数据中心资源绑定的问题，帮助数据中心的计算、网络、存储资源实现解耦合，并通过深</w:t>
      </w:r>
      <w:proofErr w:type="gramStart"/>
      <w:r>
        <w:rPr>
          <w:rFonts w:ascii="微软雅黑" w:eastAsia="微软雅黑" w:hAnsi="微软雅黑" w:cs="Hannotate SC Regular" w:hint="eastAsia"/>
          <w:sz w:val="21"/>
          <w:szCs w:val="21"/>
        </w:rPr>
        <w:t>信服云管平台</w:t>
      </w:r>
      <w:proofErr w:type="gramEnd"/>
      <w:r>
        <w:rPr>
          <w:rFonts w:ascii="微软雅黑" w:eastAsia="微软雅黑" w:hAnsi="微软雅黑" w:cs="Hannotate SC Regular" w:hint="eastAsia"/>
          <w:sz w:val="21"/>
          <w:szCs w:val="21"/>
        </w:rPr>
        <w:t>S</w:t>
      </w:r>
      <w:r>
        <w:rPr>
          <w:rFonts w:ascii="微软雅黑" w:eastAsia="微软雅黑" w:hAnsi="微软雅黑" w:cs="Hannotate SC Regular"/>
          <w:sz w:val="21"/>
          <w:szCs w:val="21"/>
        </w:rPr>
        <w:t>CP</w:t>
      </w:r>
      <w:r>
        <w:rPr>
          <w:rFonts w:ascii="微软雅黑" w:eastAsia="微软雅黑" w:hAnsi="微软雅黑" w:cs="Hannotate SC Regular" w:hint="eastAsia"/>
          <w:sz w:val="21"/>
          <w:szCs w:val="21"/>
        </w:rPr>
        <w:t>进行资源</w:t>
      </w:r>
      <w:r>
        <w:rPr>
          <w:rFonts w:ascii="微软雅黑" w:eastAsia="微软雅黑" w:hAnsi="微软雅黑" w:cs="Hannotate SC Regular"/>
          <w:sz w:val="21"/>
          <w:szCs w:val="21"/>
        </w:rPr>
        <w:t>的</w:t>
      </w:r>
      <w:r>
        <w:rPr>
          <w:rFonts w:ascii="微软雅黑" w:eastAsia="微软雅黑" w:hAnsi="微软雅黑" w:cs="Hannotate SC Regular" w:hint="eastAsia"/>
          <w:sz w:val="21"/>
          <w:szCs w:val="21"/>
        </w:rPr>
        <w:t>统一分配。</w:t>
      </w:r>
    </w:p>
    <w:p w:rsidR="000270BE" w:rsidRDefault="00000000">
      <w:pPr>
        <w:autoSpaceDE w:val="0"/>
        <w:autoSpaceDN w:val="0"/>
        <w:adjustRightInd w:val="0"/>
        <w:spacing w:line="360" w:lineRule="auto"/>
        <w:jc w:val="center"/>
        <w:rPr>
          <w:rFonts w:ascii="微软雅黑" w:eastAsia="微软雅黑" w:hAnsi="微软雅黑" w:cs="Hannotate SC Regular" w:hint="eastAsia"/>
          <w:sz w:val="21"/>
          <w:szCs w:val="21"/>
        </w:rPr>
      </w:pPr>
      <w:r>
        <w:rPr>
          <w:rFonts w:ascii="微软雅黑" w:eastAsia="微软雅黑" w:hAnsi="微软雅黑" w:cs="Hannotate SC Regular"/>
          <w:noProof/>
          <w:sz w:val="21"/>
          <w:szCs w:val="21"/>
        </w:rPr>
        <w:drawing>
          <wp:inline distT="0" distB="0" distL="0" distR="0">
            <wp:extent cx="4000500" cy="2142490"/>
            <wp:effectExtent l="0" t="0" r="8255" b="444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000500" cy="2142490"/>
                    </a:xfrm>
                    <a:prstGeom prst="rect">
                      <a:avLst/>
                    </a:prstGeom>
                    <a:noFill/>
                  </pic:spPr>
                </pic:pic>
              </a:graphicData>
            </a:graphic>
          </wp:inline>
        </w:drawing>
      </w:r>
    </w:p>
    <w:p w:rsidR="000270BE" w:rsidRDefault="000270BE">
      <w:pPr>
        <w:autoSpaceDE w:val="0"/>
        <w:autoSpaceDN w:val="0"/>
        <w:adjustRightInd w:val="0"/>
        <w:spacing w:line="360" w:lineRule="auto"/>
        <w:jc w:val="center"/>
        <w:rPr>
          <w:rFonts w:ascii="微软雅黑" w:eastAsia="微软雅黑" w:hAnsi="微软雅黑" w:cs="Hannotate SC Regular" w:hint="eastAsia"/>
          <w:sz w:val="21"/>
          <w:szCs w:val="21"/>
        </w:rPr>
      </w:pPr>
    </w:p>
    <w:p w:rsidR="000270BE" w:rsidRDefault="000270BE">
      <w:pPr>
        <w:autoSpaceDE w:val="0"/>
        <w:autoSpaceDN w:val="0"/>
        <w:adjustRightInd w:val="0"/>
        <w:spacing w:line="360" w:lineRule="auto"/>
        <w:jc w:val="center"/>
        <w:rPr>
          <w:rFonts w:ascii="微软雅黑" w:eastAsia="微软雅黑" w:hAnsi="微软雅黑" w:cs="Hannotate SC Regular" w:hint="eastAsia"/>
          <w:sz w:val="21"/>
          <w:szCs w:val="21"/>
        </w:rPr>
      </w:pPr>
    </w:p>
    <w:p w:rsidR="000270BE" w:rsidRDefault="00000000">
      <w:pPr>
        <w:numPr>
          <w:ilvl w:val="0"/>
          <w:numId w:val="1"/>
        </w:numPr>
        <w:autoSpaceDE w:val="0"/>
        <w:autoSpaceDN w:val="0"/>
        <w:adjustRightInd w:val="0"/>
        <w:spacing w:line="360" w:lineRule="auto"/>
        <w:rPr>
          <w:rFonts w:ascii="微软雅黑" w:eastAsia="微软雅黑" w:hAnsi="微软雅黑" w:cs="Hannotate SC Regular" w:hint="eastAsia"/>
          <w:sz w:val="21"/>
          <w:szCs w:val="21"/>
        </w:rPr>
      </w:pPr>
      <w:r>
        <w:rPr>
          <w:rFonts w:ascii="微软雅黑" w:eastAsia="微软雅黑" w:hAnsi="微软雅黑" w:cs="Hannotate SC Regular" w:hint="eastAsia"/>
          <w:b/>
          <w:sz w:val="21"/>
          <w:szCs w:val="21"/>
        </w:rPr>
        <w:lastRenderedPageBreak/>
        <w:t>高可靠的数据中心</w:t>
      </w:r>
    </w:p>
    <w:p w:rsidR="000270BE" w:rsidRDefault="00000000">
      <w:pPr>
        <w:autoSpaceDE w:val="0"/>
        <w:autoSpaceDN w:val="0"/>
        <w:adjustRightInd w:val="0"/>
        <w:spacing w:line="360" w:lineRule="auto"/>
        <w:rPr>
          <w:rFonts w:ascii="微软雅黑" w:eastAsia="微软雅黑" w:hAnsi="微软雅黑" w:cs="Hannotate SC Regular" w:hint="eastAsia"/>
          <w:sz w:val="21"/>
          <w:szCs w:val="21"/>
        </w:rPr>
      </w:pPr>
      <w:r>
        <w:rPr>
          <w:rFonts w:ascii="微软雅黑" w:eastAsia="微软雅黑" w:hAnsi="微软雅黑" w:cs="Hannotate SC Regular" w:hint="eastAsia"/>
          <w:sz w:val="21"/>
          <w:szCs w:val="21"/>
        </w:rPr>
        <w:t>深信服超融合方案，提供应对单节点故障的多副本H</w:t>
      </w:r>
      <w:r>
        <w:rPr>
          <w:rFonts w:ascii="微软雅黑" w:eastAsia="微软雅黑" w:hAnsi="微软雅黑" w:cs="Hannotate SC Regular"/>
          <w:sz w:val="21"/>
          <w:szCs w:val="21"/>
        </w:rPr>
        <w:t>A</w:t>
      </w:r>
      <w:r>
        <w:rPr>
          <w:rFonts w:ascii="微软雅黑" w:eastAsia="微软雅黑" w:hAnsi="微软雅黑" w:cs="Hannotate SC Regular" w:hint="eastAsia"/>
          <w:sz w:val="21"/>
          <w:szCs w:val="21"/>
        </w:rPr>
        <w:t>机制，提供应对数据丢失、虚拟机故障的持续数据保护功能C</w:t>
      </w:r>
      <w:r>
        <w:rPr>
          <w:rFonts w:ascii="微软雅黑" w:eastAsia="微软雅黑" w:hAnsi="微软雅黑" w:cs="Hannotate SC Regular"/>
          <w:sz w:val="21"/>
          <w:szCs w:val="21"/>
        </w:rPr>
        <w:t>DP</w:t>
      </w:r>
      <w:r>
        <w:rPr>
          <w:rFonts w:ascii="微软雅黑" w:eastAsia="微软雅黑" w:hAnsi="微软雅黑" w:cs="Hannotate SC Regular" w:hint="eastAsia"/>
          <w:sz w:val="21"/>
          <w:szCs w:val="21"/>
        </w:rPr>
        <w:t>，提供应对单个数据中心故障的异地容灾和</w:t>
      </w:r>
      <w:proofErr w:type="gramStart"/>
      <w:r>
        <w:rPr>
          <w:rFonts w:ascii="微软雅黑" w:eastAsia="微软雅黑" w:hAnsi="微软雅黑" w:cs="Hannotate SC Regular" w:hint="eastAsia"/>
          <w:sz w:val="21"/>
          <w:szCs w:val="21"/>
        </w:rPr>
        <w:t>园双</w:t>
      </w:r>
      <w:proofErr w:type="gramEnd"/>
      <w:r>
        <w:rPr>
          <w:rFonts w:ascii="微软雅黑" w:eastAsia="微软雅黑" w:hAnsi="微软雅黑" w:cs="Hannotate SC Regular" w:hint="eastAsia"/>
          <w:sz w:val="21"/>
          <w:szCs w:val="21"/>
        </w:rPr>
        <w:t>活功能，提供硬件故障告警和硬盘亚健康状态预警机制，提供可视化平台以实时监控数据中心的健康状态。</w:t>
      </w:r>
    </w:p>
    <w:p w:rsidR="000270BE" w:rsidRDefault="00000000">
      <w:pPr>
        <w:autoSpaceDE w:val="0"/>
        <w:autoSpaceDN w:val="0"/>
        <w:adjustRightInd w:val="0"/>
        <w:spacing w:line="360" w:lineRule="auto"/>
        <w:jc w:val="center"/>
        <w:rPr>
          <w:rFonts w:ascii="微软雅黑" w:eastAsia="微软雅黑" w:hAnsi="微软雅黑" w:cs="Hannotate SC Regular" w:hint="eastAsia"/>
          <w:sz w:val="21"/>
          <w:szCs w:val="21"/>
        </w:rPr>
      </w:pPr>
      <w:r>
        <w:rPr>
          <w:rFonts w:ascii="Arial" w:eastAsia="微软雅黑" w:hAnsi="Arial" w:cs="Times New Roman"/>
          <w:noProof/>
          <w:szCs w:val="21"/>
        </w:rPr>
        <w:drawing>
          <wp:inline distT="0" distB="0" distL="114300" distR="114300">
            <wp:extent cx="4297680" cy="2554605"/>
            <wp:effectExtent l="0" t="0" r="7620" b="0"/>
            <wp:docPr id="4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5"/>
                    <pic:cNvPicPr>
                      <a:picLocks noChangeAspect="1"/>
                    </pic:cNvPicPr>
                  </pic:nvPicPr>
                  <pic:blipFill>
                    <a:blip r:embed="rId16"/>
                    <a:stretch>
                      <a:fillRect/>
                    </a:stretch>
                  </pic:blipFill>
                  <pic:spPr>
                    <a:xfrm>
                      <a:off x="0" y="0"/>
                      <a:ext cx="4300724" cy="2556344"/>
                    </a:xfrm>
                    <a:prstGeom prst="rect">
                      <a:avLst/>
                    </a:prstGeom>
                  </pic:spPr>
                </pic:pic>
              </a:graphicData>
            </a:graphic>
          </wp:inline>
        </w:drawing>
      </w:r>
    </w:p>
    <w:p w:rsidR="000270BE" w:rsidRDefault="00000000">
      <w:pPr>
        <w:numPr>
          <w:ilvl w:val="0"/>
          <w:numId w:val="1"/>
        </w:numPr>
        <w:autoSpaceDE w:val="0"/>
        <w:autoSpaceDN w:val="0"/>
        <w:adjustRightInd w:val="0"/>
        <w:spacing w:line="360" w:lineRule="auto"/>
        <w:rPr>
          <w:rFonts w:ascii="微软雅黑" w:eastAsia="微软雅黑" w:hAnsi="微软雅黑" w:cs="Hannotate SC Regular" w:hint="eastAsia"/>
          <w:b/>
          <w:sz w:val="21"/>
          <w:szCs w:val="21"/>
        </w:rPr>
      </w:pPr>
      <w:r>
        <w:rPr>
          <w:rFonts w:ascii="微软雅黑" w:eastAsia="微软雅黑" w:hAnsi="微软雅黑" w:cs="Hannotate SC Regular" w:hint="eastAsia"/>
          <w:b/>
          <w:sz w:val="21"/>
          <w:szCs w:val="21"/>
        </w:rPr>
        <w:t>安全合</w:t>
      </w:r>
      <w:proofErr w:type="gramStart"/>
      <w:r>
        <w:rPr>
          <w:rFonts w:ascii="微软雅黑" w:eastAsia="微软雅黑" w:hAnsi="微软雅黑" w:cs="Hannotate SC Regular" w:hint="eastAsia"/>
          <w:b/>
          <w:sz w:val="21"/>
          <w:szCs w:val="21"/>
        </w:rPr>
        <w:t>规</w:t>
      </w:r>
      <w:proofErr w:type="gramEnd"/>
      <w:r>
        <w:rPr>
          <w:rFonts w:ascii="微软雅黑" w:eastAsia="微软雅黑" w:hAnsi="微软雅黑" w:cs="Hannotate SC Regular" w:hint="eastAsia"/>
          <w:b/>
          <w:sz w:val="21"/>
          <w:szCs w:val="21"/>
        </w:rPr>
        <w:t>的数据中心</w:t>
      </w:r>
    </w:p>
    <w:p w:rsidR="000270BE" w:rsidRDefault="00000000">
      <w:pPr>
        <w:autoSpaceDE w:val="0"/>
        <w:autoSpaceDN w:val="0"/>
        <w:adjustRightInd w:val="0"/>
        <w:spacing w:line="360" w:lineRule="auto"/>
        <w:rPr>
          <w:rFonts w:ascii="微软雅黑" w:eastAsia="微软雅黑" w:hAnsi="微软雅黑" w:cs="Hannotate SC Regular" w:hint="eastAsia"/>
          <w:sz w:val="21"/>
          <w:szCs w:val="21"/>
        </w:rPr>
      </w:pPr>
      <w:r>
        <w:rPr>
          <w:rFonts w:ascii="微软雅黑" w:eastAsia="微软雅黑" w:hAnsi="微软雅黑" w:cs="Hannotate SC Regular" w:hint="eastAsia"/>
          <w:sz w:val="21"/>
          <w:szCs w:val="21"/>
        </w:rPr>
        <w:t>深信服超融合方案中</w:t>
      </w:r>
      <w:proofErr w:type="gramStart"/>
      <w:r>
        <w:rPr>
          <w:rFonts w:ascii="微软雅黑" w:eastAsia="微软雅黑" w:hAnsi="微软雅黑" w:cs="Hannotate SC Regular" w:hint="eastAsia"/>
          <w:sz w:val="21"/>
          <w:szCs w:val="21"/>
        </w:rPr>
        <w:t>融合深</w:t>
      </w:r>
      <w:proofErr w:type="gramEnd"/>
      <w:r>
        <w:rPr>
          <w:rFonts w:ascii="微软雅黑" w:eastAsia="微软雅黑" w:hAnsi="微软雅黑" w:cs="Hannotate SC Regular" w:hint="eastAsia"/>
          <w:sz w:val="21"/>
          <w:szCs w:val="21"/>
        </w:rPr>
        <w:t>信服安全产品，提供全方位的安全防护。同时提供符合</w:t>
      </w:r>
      <w:proofErr w:type="gramStart"/>
      <w:r>
        <w:rPr>
          <w:rFonts w:ascii="微软雅黑" w:eastAsia="微软雅黑" w:hAnsi="微软雅黑" w:cs="Hannotate SC Regular" w:hint="eastAsia"/>
          <w:sz w:val="21"/>
          <w:szCs w:val="21"/>
        </w:rPr>
        <w:t>三级等保和</w:t>
      </w:r>
      <w:proofErr w:type="gramEnd"/>
      <w:r>
        <w:rPr>
          <w:rFonts w:ascii="微软雅黑" w:eastAsia="微软雅黑" w:hAnsi="微软雅黑" w:cs="Hannotate SC Regular" w:hint="eastAsia"/>
          <w:sz w:val="21"/>
          <w:szCs w:val="21"/>
        </w:rPr>
        <w:t>国家信息安全规范的</w:t>
      </w:r>
      <w:proofErr w:type="gramStart"/>
      <w:r>
        <w:rPr>
          <w:rFonts w:ascii="微软雅黑" w:eastAsia="微软雅黑" w:hAnsi="微软雅黑" w:cs="Hannotate SC Regular" w:hint="eastAsia"/>
          <w:sz w:val="21"/>
          <w:szCs w:val="21"/>
        </w:rPr>
        <w:t>云化数据</w:t>
      </w:r>
      <w:proofErr w:type="gramEnd"/>
      <w:r>
        <w:rPr>
          <w:rFonts w:ascii="微软雅黑" w:eastAsia="微软雅黑" w:hAnsi="微软雅黑" w:cs="Hannotate SC Regular" w:hint="eastAsia"/>
          <w:sz w:val="21"/>
          <w:szCs w:val="21"/>
        </w:rPr>
        <w:t>中心方案，解决客户后顾之忧。</w:t>
      </w:r>
    </w:p>
    <w:p w:rsidR="000270BE" w:rsidRDefault="00000000">
      <w:pPr>
        <w:autoSpaceDE w:val="0"/>
        <w:autoSpaceDN w:val="0"/>
        <w:adjustRightInd w:val="0"/>
        <w:spacing w:line="360" w:lineRule="auto"/>
        <w:jc w:val="center"/>
        <w:rPr>
          <w:rFonts w:ascii="微软雅黑" w:eastAsia="微软雅黑" w:hAnsi="微软雅黑" w:cs="Hannotate SC Regular" w:hint="eastAsia"/>
          <w:sz w:val="21"/>
          <w:szCs w:val="21"/>
        </w:rPr>
      </w:pPr>
      <w:r>
        <w:rPr>
          <w:rFonts w:ascii="微软雅黑" w:eastAsia="微软雅黑" w:hAnsi="微软雅黑" w:cs="Hannotate SC Regular"/>
          <w:noProof/>
          <w:sz w:val="21"/>
          <w:szCs w:val="21"/>
        </w:rPr>
        <w:drawing>
          <wp:inline distT="0" distB="0" distL="0" distR="0">
            <wp:extent cx="5535295" cy="2750820"/>
            <wp:effectExtent l="0" t="0" r="825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5613674" cy="2789547"/>
                    </a:xfrm>
                    <a:prstGeom prst="rect">
                      <a:avLst/>
                    </a:prstGeom>
                  </pic:spPr>
                </pic:pic>
              </a:graphicData>
            </a:graphic>
          </wp:inline>
        </w:drawing>
      </w:r>
    </w:p>
    <w:p w:rsidR="000270BE" w:rsidRDefault="00000000">
      <w:pPr>
        <w:spacing w:line="360" w:lineRule="auto"/>
        <w:rPr>
          <w:rFonts w:ascii="微软雅黑" w:eastAsia="微软雅黑" w:hAnsi="微软雅黑" w:hint="eastAsia"/>
          <w:b/>
          <w:color w:val="1F497D"/>
        </w:rPr>
      </w:pPr>
      <w:r>
        <w:rPr>
          <w:rFonts w:ascii="微软雅黑" w:eastAsia="微软雅黑" w:hAnsi="微软雅黑" w:hint="eastAsia"/>
          <w:b/>
          <w:color w:val="1F497D"/>
          <w:sz w:val="28"/>
          <w:szCs w:val="28"/>
        </w:rPr>
        <w:lastRenderedPageBreak/>
        <w:t>如何迈向</w:t>
      </w:r>
      <w:r>
        <w:rPr>
          <w:rFonts w:ascii="微软雅黑" w:eastAsia="微软雅黑" w:hAnsi="微软雅黑"/>
          <w:b/>
          <w:color w:val="1F497D"/>
          <w:sz w:val="28"/>
          <w:szCs w:val="28"/>
        </w:rPr>
        <w:t>超融合</w:t>
      </w:r>
    </w:p>
    <w:p w:rsidR="000270BE" w:rsidRDefault="00000000">
      <w:pPr>
        <w:numPr>
          <w:ilvl w:val="0"/>
          <w:numId w:val="2"/>
        </w:numPr>
        <w:autoSpaceDE w:val="0"/>
        <w:autoSpaceDN w:val="0"/>
        <w:adjustRightInd w:val="0"/>
        <w:spacing w:line="360" w:lineRule="auto"/>
        <w:rPr>
          <w:rFonts w:ascii="微软雅黑" w:eastAsia="微软雅黑" w:hAnsi="微软雅黑" w:cs="Hannotate SC Regular" w:hint="eastAsia"/>
          <w:b/>
          <w:bCs/>
          <w:sz w:val="21"/>
          <w:szCs w:val="21"/>
        </w:rPr>
      </w:pPr>
      <w:r>
        <w:rPr>
          <w:rFonts w:ascii="微软雅黑" w:eastAsia="微软雅黑" w:hAnsi="微软雅黑" w:cs="Hannotate SC Regular" w:hint="eastAsia"/>
          <w:b/>
          <w:bCs/>
          <w:sz w:val="21"/>
          <w:szCs w:val="21"/>
        </w:rPr>
        <w:t>两种方式实现超融合</w:t>
      </w:r>
    </w:p>
    <w:p w:rsidR="000270BE" w:rsidRDefault="00000000">
      <w:pPr>
        <w:pStyle w:val="af2"/>
        <w:numPr>
          <w:ilvl w:val="0"/>
          <w:numId w:val="3"/>
        </w:numPr>
        <w:autoSpaceDE w:val="0"/>
        <w:autoSpaceDN w:val="0"/>
        <w:adjustRightInd w:val="0"/>
        <w:spacing w:line="360" w:lineRule="auto"/>
        <w:ind w:firstLineChars="0"/>
        <w:rPr>
          <w:rFonts w:ascii="微软雅黑" w:eastAsia="微软雅黑" w:hAnsi="微软雅黑" w:cs="Hannotate SC Regular" w:hint="eastAsia"/>
          <w:sz w:val="21"/>
          <w:szCs w:val="21"/>
        </w:rPr>
      </w:pPr>
      <w:r>
        <w:rPr>
          <w:rFonts w:ascii="微软雅黑" w:eastAsia="微软雅黑" w:hAnsi="微软雅黑" w:cs="Hannotate SC Regular" w:hint="eastAsia"/>
          <w:sz w:val="21"/>
          <w:szCs w:val="21"/>
        </w:rPr>
        <w:t>超融合软件：开放兼容第三方服务器，支持X</w:t>
      </w:r>
      <w:r>
        <w:rPr>
          <w:rFonts w:ascii="微软雅黑" w:eastAsia="微软雅黑" w:hAnsi="微软雅黑" w:cs="Hannotate SC Regular"/>
          <w:sz w:val="21"/>
          <w:szCs w:val="21"/>
        </w:rPr>
        <w:t>86</w:t>
      </w:r>
      <w:r>
        <w:rPr>
          <w:rFonts w:ascii="微软雅黑" w:eastAsia="微软雅黑" w:hAnsi="微软雅黑" w:cs="Hannotate SC Regular" w:hint="eastAsia"/>
          <w:sz w:val="21"/>
          <w:szCs w:val="21"/>
        </w:rPr>
        <w:t>、A</w:t>
      </w:r>
      <w:r>
        <w:rPr>
          <w:rFonts w:ascii="微软雅黑" w:eastAsia="微软雅黑" w:hAnsi="微软雅黑" w:cs="Hannotate SC Regular"/>
          <w:sz w:val="21"/>
          <w:szCs w:val="21"/>
        </w:rPr>
        <w:t>RM</w:t>
      </w:r>
      <w:r>
        <w:rPr>
          <w:rFonts w:ascii="微软雅黑" w:eastAsia="微软雅黑" w:hAnsi="微软雅黑" w:cs="Hannotate SC Regular" w:hint="eastAsia"/>
          <w:sz w:val="21"/>
          <w:szCs w:val="21"/>
        </w:rPr>
        <w:t>双架构。</w:t>
      </w:r>
    </w:p>
    <w:p w:rsidR="000270BE" w:rsidRDefault="00000000">
      <w:pPr>
        <w:pStyle w:val="af2"/>
        <w:numPr>
          <w:ilvl w:val="0"/>
          <w:numId w:val="3"/>
        </w:numPr>
        <w:autoSpaceDE w:val="0"/>
        <w:autoSpaceDN w:val="0"/>
        <w:adjustRightInd w:val="0"/>
        <w:spacing w:line="360" w:lineRule="auto"/>
        <w:ind w:firstLineChars="0"/>
        <w:rPr>
          <w:rFonts w:ascii="微软雅黑" w:eastAsia="微软雅黑" w:hAnsi="微软雅黑" w:cs="Hannotate SC Regular" w:hint="eastAsia"/>
          <w:sz w:val="21"/>
          <w:szCs w:val="21"/>
        </w:rPr>
      </w:pPr>
      <w:r>
        <w:rPr>
          <w:rFonts w:ascii="微软雅黑" w:eastAsia="微软雅黑" w:hAnsi="微软雅黑" w:cs="Hannotate SC Regular" w:hint="eastAsia"/>
          <w:sz w:val="21"/>
          <w:szCs w:val="21"/>
        </w:rPr>
        <w:t>超融合一体机：极速部署，支持C</w:t>
      </w:r>
      <w:r>
        <w:rPr>
          <w:rFonts w:ascii="微软雅黑" w:eastAsia="微软雅黑" w:hAnsi="微软雅黑" w:cs="Hannotate SC Regular"/>
          <w:sz w:val="21"/>
          <w:szCs w:val="21"/>
        </w:rPr>
        <w:t>PU</w:t>
      </w:r>
      <w:r>
        <w:rPr>
          <w:rFonts w:ascii="微软雅黑" w:eastAsia="微软雅黑" w:hAnsi="微软雅黑" w:cs="Hannotate SC Regular" w:hint="eastAsia"/>
          <w:sz w:val="21"/>
          <w:szCs w:val="21"/>
        </w:rPr>
        <w:t>、G</w:t>
      </w:r>
      <w:r>
        <w:rPr>
          <w:rFonts w:ascii="微软雅黑" w:eastAsia="微软雅黑" w:hAnsi="微软雅黑" w:cs="Hannotate SC Regular"/>
          <w:sz w:val="21"/>
          <w:szCs w:val="21"/>
        </w:rPr>
        <w:t>PU</w:t>
      </w:r>
      <w:proofErr w:type="gramStart"/>
      <w:r>
        <w:rPr>
          <w:rFonts w:ascii="微软雅黑" w:eastAsia="微软雅黑" w:hAnsi="微软雅黑" w:cs="Hannotate SC Regular" w:hint="eastAsia"/>
          <w:sz w:val="21"/>
          <w:szCs w:val="21"/>
        </w:rPr>
        <w:t>双算力</w:t>
      </w:r>
      <w:proofErr w:type="gramEnd"/>
      <w:r>
        <w:rPr>
          <w:rFonts w:ascii="微软雅黑" w:eastAsia="微软雅黑" w:hAnsi="微软雅黑" w:cs="Hannotate SC Regular" w:hint="eastAsia"/>
          <w:sz w:val="21"/>
          <w:szCs w:val="21"/>
        </w:rPr>
        <w:t>。</w:t>
      </w:r>
    </w:p>
    <w:p w:rsidR="000270BE" w:rsidRDefault="00000000">
      <w:pPr>
        <w:autoSpaceDE w:val="0"/>
        <w:autoSpaceDN w:val="0"/>
        <w:adjustRightInd w:val="0"/>
        <w:spacing w:line="360" w:lineRule="auto"/>
        <w:ind w:left="420"/>
        <w:jc w:val="center"/>
        <w:rPr>
          <w:rFonts w:cs="Hannotate SC Regular" w:hint="eastAsia"/>
          <w:bCs/>
          <w:sz w:val="21"/>
          <w:szCs w:val="21"/>
        </w:rPr>
      </w:pPr>
      <w:r>
        <w:rPr>
          <w:rFonts w:cs="Hannotate SC Regular"/>
          <w:bCs/>
          <w:noProof/>
          <w:sz w:val="21"/>
          <w:szCs w:val="21"/>
        </w:rPr>
        <mc:AlternateContent>
          <mc:Choice Requires="wps">
            <w:drawing>
              <wp:anchor distT="0" distB="0" distL="114300" distR="114300" simplePos="0" relativeHeight="251664384" behindDoc="0" locked="0" layoutInCell="1" allowOverlap="1">
                <wp:simplePos x="0" y="0"/>
                <wp:positionH relativeFrom="column">
                  <wp:posOffset>3731260</wp:posOffset>
                </wp:positionH>
                <wp:positionV relativeFrom="paragraph">
                  <wp:posOffset>702310</wp:posOffset>
                </wp:positionV>
                <wp:extent cx="1191260" cy="452120"/>
                <wp:effectExtent l="0" t="0" r="0" b="5080"/>
                <wp:wrapNone/>
                <wp:docPr id="25" name="文本框 25"/>
                <wp:cNvGraphicFramePr/>
                <a:graphic xmlns:a="http://schemas.openxmlformats.org/drawingml/2006/main">
                  <a:graphicData uri="http://schemas.microsoft.com/office/word/2010/wordprocessingShape">
                    <wps:wsp>
                      <wps:cNvSpPr txBox="1"/>
                      <wps:spPr>
                        <a:xfrm>
                          <a:off x="0" y="0"/>
                          <a:ext cx="1191026" cy="452136"/>
                        </a:xfrm>
                        <a:prstGeom prst="rect">
                          <a:avLst/>
                        </a:prstGeom>
                        <a:noFill/>
                        <a:ln w="6350">
                          <a:noFill/>
                        </a:ln>
                      </wps:spPr>
                      <wps:txbx>
                        <w:txbxContent>
                          <w:p w:rsidR="000270BE" w:rsidRDefault="00000000">
                            <w:pPr>
                              <w:ind w:firstLineChars="200" w:firstLine="420"/>
                              <w:rPr>
                                <w:rFonts w:ascii="微软雅黑" w:eastAsia="微软雅黑" w:hAnsi="微软雅黑" w:hint="eastAsia"/>
                                <w:b/>
                                <w:bCs/>
                                <w:color w:val="262626" w:themeColor="text1" w:themeTint="D9"/>
                                <w:sz w:val="21"/>
                                <w:szCs w:val="21"/>
                              </w:rPr>
                            </w:pPr>
                            <w:r>
                              <w:rPr>
                                <w:rFonts w:ascii="微软雅黑" w:eastAsia="微软雅黑" w:hAnsi="微软雅黑" w:hint="eastAsia"/>
                                <w:b/>
                                <w:bCs/>
                                <w:color w:val="262626" w:themeColor="text1" w:themeTint="D9"/>
                                <w:sz w:val="21"/>
                                <w:szCs w:val="21"/>
                              </w:rPr>
                              <w:t>超融合软件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25" o:spid="_x0000_s1026" type="#_x0000_t202" style="position:absolute;left:0;text-align:left;margin-left:293.8pt;margin-top:55.3pt;width:93.8pt;height:35.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" filled="f" stroked="f" strokeweight=".5pt">
                <v:textbox>
                  <w:txbxContent>
                    <w:p w:rsidR="000270BE" w:rsidRDefault="00000000">
                      <w:pPr>
                        <w:ind w:firstLineChars="200" w:firstLine="420"/>
                        <w:rPr>
                          <w:rFonts w:ascii="微软雅黑" w:eastAsia="微软雅黑" w:hAnsi="微软雅黑" w:hint="eastAsia"/>
                          <w:b/>
                          <w:bCs/>
                          <w:color w:val="262626" w:themeColor="text1" w:themeTint="D9"/>
                          <w:sz w:val="21"/>
                          <w:szCs w:val="21"/>
                        </w:rPr>
                      </w:pPr>
                      <w:r>
                        <w:rPr>
                          <w:rFonts w:ascii="微软雅黑" w:eastAsia="微软雅黑" w:hAnsi="微软雅黑" w:hint="eastAsia"/>
                          <w:b/>
                          <w:bCs/>
                          <w:color w:val="262626" w:themeColor="text1" w:themeTint="D9"/>
                          <w:sz w:val="21"/>
                          <w:szCs w:val="21"/>
                        </w:rPr>
                        <w:t>超融合软件</w:t>
                      </w:r>
                    </w:p>
                  </w:txbxContent>
                </v:textbox>
              </v:shape>
            </w:pict>
          </mc:Fallback>
        </mc:AlternateContent>
      </w:r>
      <w:r>
        <w:rPr>
          <w:rFonts w:cs="Hannotate SC Regular"/>
          <w:bCs/>
          <w:noProof/>
          <w:sz w:val="21"/>
          <w:szCs w:val="21"/>
        </w:rPr>
        <mc:AlternateContent>
          <mc:Choice Requires="wps">
            <w:drawing>
              <wp:anchor distT="0" distB="0" distL="114300" distR="114300" simplePos="0" relativeHeight="251663360" behindDoc="0" locked="0" layoutInCell="1" allowOverlap="1">
                <wp:simplePos x="0" y="0"/>
                <wp:positionH relativeFrom="column">
                  <wp:posOffset>3609340</wp:posOffset>
                </wp:positionH>
                <wp:positionV relativeFrom="paragraph">
                  <wp:posOffset>871855</wp:posOffset>
                </wp:positionV>
                <wp:extent cx="1587500" cy="222250"/>
                <wp:effectExtent l="0" t="0" r="0" b="6985"/>
                <wp:wrapNone/>
                <wp:docPr id="24" name="矩形 24"/>
                <wp:cNvGraphicFramePr/>
                <a:graphic xmlns:a="http://schemas.openxmlformats.org/drawingml/2006/main">
                  <a:graphicData uri="http://schemas.microsoft.com/office/word/2010/wordprocessingShape">
                    <wps:wsp>
                      <wps:cNvSpPr/>
                      <wps:spPr>
                        <a:xfrm>
                          <a:off x="0" y="0"/>
                          <a:ext cx="1587500" cy="222245"/>
                        </a:xfrm>
                        <a:prstGeom prst="rect">
                          <a:avLst/>
                        </a:prstGeom>
                        <a:solidFill>
                          <a:srgbClr val="EFEFEF"/>
                        </a:solidFill>
                        <a:ln>
                          <a:noFill/>
                        </a:ln>
                        <a:effectLst/>
                      </wps:spPr>
                      <wps:style>
                        <a:lnRef idx="1">
                          <a:schemeClr val="accent1"/>
                        </a:lnRef>
                        <a:fillRef idx="3">
                          <a:schemeClr val="accent1"/>
                        </a:fillRef>
                        <a:effectRef idx="2">
                          <a:schemeClr val="accent1"/>
                        </a:effectRef>
                        <a:fontRef idx="minor">
                          <a:schemeClr val="lt1"/>
                        </a:fontRef>
                      </wps:style>
                      <wps:txbx>
                        <w:txbxContent>
                          <w:p w:rsidR="000270BE" w:rsidRDefault="00000000">
                            <w:pPr>
                              <w:spacing w:line="200" w:lineRule="exact"/>
                              <w:rPr>
                                <w:rFonts w:ascii="微软雅黑" w:eastAsia="微软雅黑" w:hAnsi="微软雅黑" w:hint="eastAsia"/>
                                <w:color w:val="000000" w:themeColor="text1"/>
                                <w:sz w:val="21"/>
                                <w:szCs w:val="21"/>
                              </w:rPr>
                            </w:pPr>
                            <w:r>
                              <w:rPr>
                                <w:rFonts w:ascii="微软雅黑" w:eastAsia="微软雅黑" w:hAnsi="微软雅黑" w:hint="eastAsia"/>
                                <w:color w:val="000000" w:themeColor="text1"/>
                                <w:sz w:val="21"/>
                                <w:szCs w:val="21"/>
                              </w:rPr>
                              <w:t xml:space="preserve"> </w:t>
                            </w:r>
                            <w:r>
                              <w:rPr>
                                <w:rFonts w:ascii="微软雅黑" w:eastAsia="微软雅黑" w:hAnsi="微软雅黑"/>
                                <w:color w:val="000000" w:themeColor="text1"/>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4" o:spid="_x0000_s1027" style="position:absolute;left:0;text-align:left;margin-left:284.2pt;margin-top:68.65pt;width:125pt;height: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" fillcolor="#efefef" stroked="f">
                <v:textbox>
                  <w:txbxContent>
                    <w:p w:rsidR="000270BE" w:rsidRDefault="00000000">
                      <w:pPr>
                        <w:spacing w:line="200" w:lineRule="exact"/>
                        <w:rPr>
                          <w:rFonts w:ascii="微软雅黑" w:eastAsia="微软雅黑" w:hAnsi="微软雅黑" w:hint="eastAsia"/>
                          <w:color w:val="000000" w:themeColor="text1"/>
                          <w:sz w:val="21"/>
                          <w:szCs w:val="21"/>
                        </w:rPr>
                      </w:pPr>
                      <w:r>
                        <w:rPr>
                          <w:rFonts w:ascii="微软雅黑" w:eastAsia="微软雅黑" w:hAnsi="微软雅黑" w:hint="eastAsia"/>
                          <w:color w:val="000000" w:themeColor="text1"/>
                          <w:sz w:val="21"/>
                          <w:szCs w:val="21"/>
                        </w:rPr>
                        <w:t xml:space="preserve"> </w:t>
                      </w:r>
                      <w:r>
                        <w:rPr>
                          <w:rFonts w:ascii="微软雅黑" w:eastAsia="微软雅黑" w:hAnsi="微软雅黑"/>
                          <w:color w:val="000000" w:themeColor="text1"/>
                          <w:sz w:val="21"/>
                          <w:szCs w:val="21"/>
                        </w:rPr>
                        <w:t xml:space="preserve">                              </w:t>
                      </w:r>
                    </w:p>
                  </w:txbxContent>
                </v:textbox>
              </v:rect>
            </w:pict>
          </mc:Fallback>
        </mc:AlternateContent>
      </w:r>
      <w:r>
        <w:rPr>
          <w:rFonts w:cs="Hannotate SC Regular"/>
          <w:bCs/>
          <w:noProof/>
          <w:sz w:val="21"/>
          <w:szCs w:val="21"/>
        </w:rPr>
        <w:drawing>
          <wp:inline distT="0" distB="0" distL="0" distR="0">
            <wp:extent cx="4485005" cy="20821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tretch>
                      <a:fillRect/>
                    </a:stretch>
                  </pic:blipFill>
                  <pic:spPr>
                    <a:xfrm>
                      <a:off x="0" y="0"/>
                      <a:ext cx="4496441" cy="2087634"/>
                    </a:xfrm>
                    <a:prstGeom prst="rect">
                      <a:avLst/>
                    </a:prstGeom>
                  </pic:spPr>
                </pic:pic>
              </a:graphicData>
            </a:graphic>
          </wp:inline>
        </w:drawing>
      </w:r>
    </w:p>
    <w:p w:rsidR="000270BE" w:rsidRDefault="00000000">
      <w:pPr>
        <w:numPr>
          <w:ilvl w:val="0"/>
          <w:numId w:val="2"/>
        </w:numPr>
        <w:autoSpaceDE w:val="0"/>
        <w:autoSpaceDN w:val="0"/>
        <w:adjustRightInd w:val="0"/>
        <w:spacing w:line="360" w:lineRule="auto"/>
        <w:rPr>
          <w:rFonts w:ascii="微软雅黑" w:eastAsia="微软雅黑" w:hAnsi="微软雅黑" w:cs="Hannotate SC Regular" w:hint="eastAsia"/>
          <w:b/>
          <w:bCs/>
          <w:sz w:val="21"/>
          <w:szCs w:val="21"/>
        </w:rPr>
      </w:pPr>
      <w:r>
        <w:rPr>
          <w:rFonts w:ascii="微软雅黑" w:eastAsia="微软雅黑" w:hAnsi="微软雅黑" w:cs="Hannotate SC Regular" w:hint="eastAsia"/>
          <w:b/>
          <w:bCs/>
          <w:sz w:val="21"/>
          <w:szCs w:val="21"/>
        </w:rPr>
        <w:t>超融合一体机</w:t>
      </w:r>
    </w:p>
    <w:p w:rsidR="000270BE" w:rsidRDefault="00000000">
      <w:pPr>
        <w:spacing w:line="360" w:lineRule="auto"/>
        <w:jc w:val="center"/>
        <w:rPr>
          <w:rFonts w:hint="eastAsia"/>
          <w:b/>
          <w:color w:val="1F497D"/>
          <w:sz w:val="21"/>
          <w:szCs w:val="21"/>
        </w:rPr>
      </w:pPr>
      <w:r>
        <w:rPr>
          <w:b/>
          <w:noProof/>
          <w:color w:val="1F497D"/>
          <w:sz w:val="21"/>
          <w:szCs w:val="21"/>
        </w:rPr>
        <w:drawing>
          <wp:inline distT="0" distB="0" distL="114300" distR="114300">
            <wp:extent cx="5859780" cy="2143760"/>
            <wp:effectExtent l="0" t="0" r="7620" b="8890"/>
            <wp:docPr id="12" name="图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
                    <pic:cNvPicPr>
                      <a:picLocks noChangeAspect="1"/>
                    </pic:cNvPicPr>
                  </pic:nvPicPr>
                  <pic:blipFill>
                    <a:blip r:embed="rId19"/>
                    <a:stretch>
                      <a:fillRect/>
                    </a:stretch>
                  </pic:blipFill>
                  <pic:spPr>
                    <a:xfrm>
                      <a:off x="0" y="0"/>
                      <a:ext cx="5880617" cy="2151333"/>
                    </a:xfrm>
                    <a:prstGeom prst="rect">
                      <a:avLst/>
                    </a:prstGeom>
                  </pic:spPr>
                </pic:pic>
              </a:graphicData>
            </a:graphic>
          </wp:inline>
        </w:drawing>
      </w:r>
    </w:p>
    <w:p w:rsidR="000270BE" w:rsidRDefault="000270BE">
      <w:pPr>
        <w:spacing w:line="360" w:lineRule="auto"/>
        <w:jc w:val="center"/>
        <w:rPr>
          <w:rFonts w:hint="eastAsia"/>
          <w:b/>
          <w:color w:val="1F497D"/>
          <w:sz w:val="21"/>
          <w:szCs w:val="21"/>
        </w:rPr>
      </w:pPr>
    </w:p>
    <w:p w:rsidR="000270BE" w:rsidRDefault="000270BE">
      <w:pPr>
        <w:spacing w:line="360" w:lineRule="auto"/>
        <w:jc w:val="center"/>
        <w:rPr>
          <w:rFonts w:hint="eastAsia"/>
          <w:b/>
          <w:color w:val="1F497D"/>
          <w:sz w:val="21"/>
          <w:szCs w:val="21"/>
        </w:rPr>
      </w:pPr>
    </w:p>
    <w:p w:rsidR="000270BE" w:rsidRDefault="000270BE">
      <w:pPr>
        <w:spacing w:line="360" w:lineRule="auto"/>
        <w:jc w:val="center"/>
        <w:rPr>
          <w:rFonts w:hint="eastAsia"/>
          <w:b/>
          <w:color w:val="1F497D"/>
          <w:sz w:val="21"/>
          <w:szCs w:val="21"/>
        </w:rPr>
      </w:pPr>
    </w:p>
    <w:p w:rsidR="000270BE" w:rsidRDefault="000270BE">
      <w:pPr>
        <w:spacing w:line="360" w:lineRule="auto"/>
        <w:jc w:val="center"/>
        <w:rPr>
          <w:rFonts w:hint="eastAsia"/>
          <w:b/>
          <w:color w:val="1F497D"/>
          <w:sz w:val="21"/>
          <w:szCs w:val="21"/>
        </w:rPr>
      </w:pPr>
    </w:p>
    <w:p w:rsidR="000270BE" w:rsidRDefault="000270BE">
      <w:pPr>
        <w:spacing w:line="360" w:lineRule="auto"/>
        <w:jc w:val="center"/>
        <w:rPr>
          <w:rFonts w:hint="eastAsia"/>
          <w:b/>
          <w:color w:val="1F497D"/>
          <w:sz w:val="21"/>
          <w:szCs w:val="21"/>
        </w:rPr>
      </w:pPr>
    </w:p>
    <w:p w:rsidR="000270BE" w:rsidRDefault="000270BE">
      <w:pPr>
        <w:spacing w:line="360" w:lineRule="auto"/>
        <w:rPr>
          <w:rFonts w:hint="eastAsia"/>
          <w:b/>
          <w:color w:val="1F497D"/>
          <w:sz w:val="21"/>
          <w:szCs w:val="21"/>
        </w:rPr>
      </w:pPr>
    </w:p>
    <w:tbl>
      <w:tblPr>
        <w:tblpPr w:leftFromText="180" w:rightFromText="180" w:vertAnchor="text" w:horzAnchor="page" w:tblpX="880" w:tblpY="67"/>
        <w:tblOverlap w:val="neve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4389"/>
        <w:gridCol w:w="4439"/>
      </w:tblGrid>
      <w:tr w:rsidR="009E1C74" w:rsidTr="009E1C74">
        <w:trPr>
          <w:trHeight w:val="675"/>
        </w:trPr>
        <w:tc>
          <w:tcPr>
            <w:tcW w:w="1276" w:type="dxa"/>
            <w:shd w:val="clear" w:color="auto" w:fill="F2F2F2" w:themeFill="background1" w:themeFillShade="F2"/>
            <w:tcMar>
              <w:top w:w="12" w:type="dxa"/>
              <w:left w:w="12" w:type="dxa"/>
              <w:right w:w="12" w:type="dxa"/>
            </w:tcMar>
            <w:vAlign w:val="center"/>
          </w:tcPr>
          <w:p w:rsidR="009E1C74" w:rsidRDefault="009E1C74">
            <w:pPr>
              <w:spacing w:line="0" w:lineRule="atLeast"/>
              <w:jc w:val="center"/>
              <w:textAlignment w:val="center"/>
              <w:rPr>
                <w:rFonts w:ascii="等线" w:eastAsia="等线" w:hAnsi="等线" w:cs="等线" w:hint="eastAsia"/>
                <w:bCs/>
                <w:color w:val="000000"/>
                <w:sz w:val="18"/>
                <w:szCs w:val="18"/>
              </w:rPr>
            </w:pPr>
            <w:r>
              <w:rPr>
                <w:rFonts w:ascii="等线" w:eastAsia="等线" w:hAnsi="等线" w:cs="等线" w:hint="eastAsia"/>
                <w:bCs/>
                <w:color w:val="000000"/>
                <w:sz w:val="18"/>
                <w:szCs w:val="18"/>
                <w:lang w:bidi="ar"/>
              </w:rPr>
              <w:lastRenderedPageBreak/>
              <w:t>一体机型号</w:t>
            </w:r>
          </w:p>
        </w:tc>
        <w:tc>
          <w:tcPr>
            <w:tcW w:w="4389" w:type="dxa"/>
            <w:tcMar>
              <w:top w:w="12" w:type="dxa"/>
              <w:left w:w="12" w:type="dxa"/>
              <w:right w:w="12" w:type="dxa"/>
            </w:tcMar>
            <w:vAlign w:val="center"/>
          </w:tcPr>
          <w:p w:rsidR="009E1C74" w:rsidRDefault="009E1C74">
            <w:pPr>
              <w:spacing w:line="0" w:lineRule="atLeast"/>
              <w:jc w:val="center"/>
              <w:textAlignment w:val="center"/>
              <w:rPr>
                <w:rFonts w:ascii="等线" w:eastAsia="等线" w:hAnsi="等线" w:cs="等线" w:hint="eastAsia"/>
                <w:bCs/>
                <w:color w:val="303133"/>
                <w:sz w:val="18"/>
                <w:szCs w:val="18"/>
              </w:rPr>
            </w:pPr>
            <w:r w:rsidRPr="009E1C74">
              <w:rPr>
                <w:rFonts w:ascii="等线" w:eastAsia="等线" w:hAnsi="等线" w:cs="等线" w:hint="eastAsia"/>
                <w:bCs/>
                <w:color w:val="303133"/>
                <w:sz w:val="18"/>
                <w:szCs w:val="18"/>
              </w:rPr>
              <w:t>aServer-X5-2205</w:t>
            </w:r>
          </w:p>
        </w:tc>
        <w:tc>
          <w:tcPr>
            <w:tcW w:w="4439" w:type="dxa"/>
            <w:vAlign w:val="center"/>
          </w:tcPr>
          <w:p w:rsidR="009E1C74" w:rsidRDefault="009E1C74">
            <w:pPr>
              <w:spacing w:line="0" w:lineRule="atLeast"/>
              <w:jc w:val="center"/>
              <w:textAlignment w:val="center"/>
              <w:rPr>
                <w:rStyle w:val="font41"/>
                <w:rFonts w:ascii="等线" w:eastAsia="等线" w:hAnsi="等线" w:cs="等线" w:hint="default"/>
                <w:bCs/>
                <w:sz w:val="18"/>
                <w:szCs w:val="18"/>
                <w:lang w:bidi="ar"/>
              </w:rPr>
            </w:pPr>
            <w:r w:rsidRPr="009E1C74">
              <w:rPr>
                <w:rFonts w:ascii="等线" w:eastAsia="等线" w:hAnsi="等线" w:cs="等线" w:hint="eastAsia"/>
                <w:bCs/>
                <w:color w:val="303133"/>
                <w:sz w:val="18"/>
                <w:szCs w:val="18"/>
              </w:rPr>
              <w:t>aServer-R-2105</w:t>
            </w:r>
          </w:p>
        </w:tc>
      </w:tr>
      <w:tr w:rsidR="000270BE">
        <w:trPr>
          <w:trHeight w:val="272"/>
        </w:trPr>
        <w:tc>
          <w:tcPr>
            <w:tcW w:w="1276" w:type="dxa"/>
            <w:shd w:val="clear" w:color="auto" w:fill="F2F2F2" w:themeFill="background1" w:themeFillShade="F2"/>
            <w:tcMar>
              <w:top w:w="12" w:type="dxa"/>
              <w:left w:w="12" w:type="dxa"/>
              <w:right w:w="12" w:type="dxa"/>
            </w:tcMar>
            <w:vAlign w:val="center"/>
          </w:tcPr>
          <w:p w:rsidR="000270BE" w:rsidRDefault="00000000">
            <w:pPr>
              <w:spacing w:line="0" w:lineRule="atLeast"/>
              <w:jc w:val="center"/>
              <w:textAlignment w:val="center"/>
              <w:rPr>
                <w:rFonts w:ascii="等线" w:eastAsia="等线" w:hAnsi="等线" w:cs="等线" w:hint="eastAsia"/>
                <w:bCs/>
                <w:color w:val="000000"/>
                <w:sz w:val="18"/>
                <w:szCs w:val="18"/>
                <w:lang w:bidi="ar"/>
              </w:rPr>
            </w:pPr>
            <w:r>
              <w:rPr>
                <w:rFonts w:ascii="等线" w:eastAsia="等线" w:hAnsi="等线" w:cs="等线" w:hint="eastAsia"/>
                <w:bCs/>
                <w:color w:val="000000"/>
                <w:sz w:val="18"/>
                <w:szCs w:val="18"/>
                <w:lang w:bidi="ar"/>
              </w:rPr>
              <w:t>架构</w:t>
            </w:r>
          </w:p>
        </w:tc>
        <w:tc>
          <w:tcPr>
            <w:tcW w:w="8828" w:type="dxa"/>
            <w:gridSpan w:val="2"/>
            <w:vAlign w:val="center"/>
          </w:tcPr>
          <w:p w:rsidR="000270BE" w:rsidRDefault="00000000">
            <w:pPr>
              <w:spacing w:line="0" w:lineRule="atLeast"/>
              <w:jc w:val="center"/>
              <w:textAlignment w:val="center"/>
              <w:rPr>
                <w:rFonts w:ascii="等线" w:eastAsia="等线" w:hAnsi="等线" w:cs="等线" w:hint="eastAsia"/>
                <w:bCs/>
                <w:color w:val="303133"/>
                <w:sz w:val="18"/>
                <w:szCs w:val="18"/>
              </w:rPr>
            </w:pPr>
            <w:r>
              <w:rPr>
                <w:rFonts w:ascii="等线" w:eastAsia="等线" w:hAnsi="等线" w:cs="等线" w:hint="eastAsia"/>
                <w:bCs/>
                <w:color w:val="303133"/>
                <w:sz w:val="18"/>
                <w:szCs w:val="18"/>
              </w:rPr>
              <w:t>X</w:t>
            </w:r>
            <w:r>
              <w:rPr>
                <w:rFonts w:ascii="等线" w:eastAsia="等线" w:hAnsi="等线" w:cs="等线"/>
                <w:bCs/>
                <w:color w:val="303133"/>
                <w:sz w:val="18"/>
                <w:szCs w:val="18"/>
              </w:rPr>
              <w:t>86</w:t>
            </w:r>
          </w:p>
        </w:tc>
      </w:tr>
      <w:tr w:rsidR="000270BE">
        <w:trPr>
          <w:trHeight w:val="200"/>
        </w:trPr>
        <w:tc>
          <w:tcPr>
            <w:tcW w:w="1276" w:type="dxa"/>
            <w:shd w:val="clear" w:color="auto" w:fill="F2F2F2" w:themeFill="background1" w:themeFillShade="F2"/>
            <w:tcMar>
              <w:top w:w="12" w:type="dxa"/>
              <w:left w:w="12" w:type="dxa"/>
              <w:right w:w="12" w:type="dxa"/>
            </w:tcMar>
            <w:vAlign w:val="center"/>
          </w:tcPr>
          <w:p w:rsidR="000270BE" w:rsidRDefault="00000000">
            <w:pPr>
              <w:spacing w:line="0" w:lineRule="atLeast"/>
              <w:jc w:val="center"/>
              <w:textAlignment w:val="center"/>
              <w:rPr>
                <w:rFonts w:ascii="等线" w:eastAsia="等线" w:hAnsi="等线" w:cs="等线" w:hint="eastAsia"/>
                <w:bCs/>
                <w:color w:val="000000"/>
                <w:sz w:val="18"/>
                <w:szCs w:val="18"/>
                <w:lang w:bidi="ar"/>
              </w:rPr>
            </w:pPr>
            <w:r>
              <w:rPr>
                <w:rFonts w:ascii="等线" w:eastAsia="等线" w:hAnsi="等线" w:cs="等线" w:hint="eastAsia"/>
                <w:bCs/>
                <w:color w:val="000000"/>
                <w:sz w:val="18"/>
                <w:szCs w:val="18"/>
                <w:lang w:bidi="ar"/>
              </w:rPr>
              <w:t>一体机规格</w:t>
            </w:r>
          </w:p>
        </w:tc>
        <w:tc>
          <w:tcPr>
            <w:tcW w:w="8828" w:type="dxa"/>
            <w:gridSpan w:val="2"/>
            <w:vAlign w:val="center"/>
          </w:tcPr>
          <w:p w:rsidR="000270BE" w:rsidRDefault="00000000">
            <w:pPr>
              <w:spacing w:line="0" w:lineRule="atLeast"/>
              <w:jc w:val="center"/>
              <w:textAlignment w:val="center"/>
              <w:rPr>
                <w:rFonts w:ascii="等线" w:eastAsia="等线" w:hAnsi="等线" w:cs="等线" w:hint="eastAsia"/>
                <w:bCs/>
                <w:color w:val="303133"/>
                <w:sz w:val="18"/>
                <w:szCs w:val="18"/>
                <w:lang w:bidi="ar"/>
              </w:rPr>
            </w:pPr>
            <w:r>
              <w:rPr>
                <w:rFonts w:ascii="等线" w:eastAsia="等线" w:hAnsi="等线" w:cs="等线" w:hint="eastAsia"/>
                <w:bCs/>
                <w:color w:val="303133"/>
                <w:sz w:val="18"/>
                <w:szCs w:val="18"/>
                <w:lang w:bidi="ar"/>
              </w:rPr>
              <w:t>2U</w:t>
            </w:r>
          </w:p>
        </w:tc>
      </w:tr>
      <w:tr w:rsidR="009E1C74" w:rsidTr="009E1C74">
        <w:trPr>
          <w:trHeight w:val="705"/>
        </w:trPr>
        <w:tc>
          <w:tcPr>
            <w:tcW w:w="1276" w:type="dxa"/>
            <w:shd w:val="clear" w:color="auto" w:fill="F2F2F2" w:themeFill="background1" w:themeFillShade="F2"/>
            <w:tcMar>
              <w:top w:w="12" w:type="dxa"/>
              <w:left w:w="12" w:type="dxa"/>
              <w:right w:w="12" w:type="dxa"/>
            </w:tcMar>
            <w:vAlign w:val="center"/>
          </w:tcPr>
          <w:p w:rsidR="009E1C74" w:rsidRDefault="009E1C74">
            <w:pPr>
              <w:spacing w:line="0" w:lineRule="atLeast"/>
              <w:jc w:val="center"/>
              <w:textAlignment w:val="center"/>
              <w:rPr>
                <w:rFonts w:ascii="等线" w:eastAsia="等线" w:hAnsi="等线" w:cs="等线" w:hint="eastAsia"/>
                <w:bCs/>
                <w:color w:val="000000"/>
                <w:sz w:val="18"/>
                <w:szCs w:val="18"/>
              </w:rPr>
            </w:pPr>
            <w:r>
              <w:rPr>
                <w:rFonts w:ascii="等线" w:eastAsia="等线" w:hAnsi="等线" w:cs="等线" w:hint="eastAsia"/>
                <w:bCs/>
                <w:color w:val="000000"/>
                <w:sz w:val="18"/>
                <w:szCs w:val="18"/>
                <w:lang w:bidi="ar"/>
              </w:rPr>
              <w:t>CPU型号</w:t>
            </w:r>
          </w:p>
        </w:tc>
        <w:tc>
          <w:tcPr>
            <w:tcW w:w="4389" w:type="dxa"/>
            <w:tcMar>
              <w:top w:w="12" w:type="dxa"/>
              <w:left w:w="12" w:type="dxa"/>
              <w:right w:w="12" w:type="dxa"/>
            </w:tcMar>
            <w:vAlign w:val="center"/>
          </w:tcPr>
          <w:p w:rsidR="009E1C74" w:rsidRDefault="009E1C74">
            <w:pPr>
              <w:spacing w:line="0" w:lineRule="atLeast"/>
              <w:jc w:val="center"/>
              <w:textAlignment w:val="center"/>
              <w:rPr>
                <w:rFonts w:ascii="等线" w:eastAsia="等线" w:hAnsi="等线" w:cs="等线" w:hint="eastAsia"/>
                <w:bCs/>
                <w:color w:val="303133"/>
                <w:sz w:val="18"/>
                <w:szCs w:val="18"/>
              </w:rPr>
            </w:pPr>
            <w:r w:rsidRPr="009E1C74">
              <w:rPr>
                <w:rFonts w:ascii="等线" w:eastAsia="等线" w:hAnsi="等线" w:cs="等线" w:hint="eastAsia"/>
                <w:bCs/>
                <w:color w:val="303133"/>
                <w:sz w:val="18"/>
                <w:szCs w:val="18"/>
                <w:lang w:bidi="ar"/>
              </w:rPr>
              <w:t>Intel Xeon Gold 6526Y CPU@2.80GHZ</w:t>
            </w:r>
          </w:p>
        </w:tc>
        <w:tc>
          <w:tcPr>
            <w:tcW w:w="4439" w:type="dxa"/>
            <w:vAlign w:val="center"/>
          </w:tcPr>
          <w:p w:rsidR="009E1C74" w:rsidRDefault="009E1C74">
            <w:pPr>
              <w:spacing w:line="0" w:lineRule="atLeast"/>
              <w:jc w:val="center"/>
              <w:textAlignment w:val="center"/>
              <w:rPr>
                <w:rFonts w:ascii="等线" w:eastAsia="等线" w:hAnsi="等线" w:cs="等线" w:hint="eastAsia"/>
                <w:bCs/>
                <w:color w:val="303133"/>
                <w:sz w:val="18"/>
                <w:szCs w:val="18"/>
                <w:lang w:bidi="ar"/>
              </w:rPr>
            </w:pPr>
            <w:r w:rsidRPr="009E1C74">
              <w:rPr>
                <w:rFonts w:ascii="等线" w:eastAsia="等线" w:hAnsi="等线" w:cs="等线" w:hint="eastAsia"/>
                <w:bCs/>
                <w:color w:val="303133"/>
                <w:sz w:val="18"/>
                <w:szCs w:val="18"/>
                <w:lang w:bidi="ar"/>
              </w:rPr>
              <w:t>Silver 4210R 2.4 GHZ</w:t>
            </w:r>
          </w:p>
        </w:tc>
      </w:tr>
      <w:tr w:rsidR="00CD36AD" w:rsidTr="00CC4C53">
        <w:trPr>
          <w:trHeight w:val="402"/>
        </w:trPr>
        <w:tc>
          <w:tcPr>
            <w:tcW w:w="1276" w:type="dxa"/>
            <w:shd w:val="clear" w:color="auto" w:fill="F2F2F2" w:themeFill="background1" w:themeFillShade="F2"/>
            <w:tcMar>
              <w:top w:w="12" w:type="dxa"/>
              <w:left w:w="12" w:type="dxa"/>
              <w:right w:w="12" w:type="dxa"/>
            </w:tcMar>
            <w:vAlign w:val="center"/>
          </w:tcPr>
          <w:p w:rsidR="00CD36AD" w:rsidRDefault="00CD36AD">
            <w:pPr>
              <w:spacing w:line="0" w:lineRule="atLeast"/>
              <w:jc w:val="center"/>
              <w:textAlignment w:val="center"/>
              <w:rPr>
                <w:rFonts w:ascii="等线" w:eastAsia="等线" w:hAnsi="等线" w:cs="等线" w:hint="eastAsia"/>
                <w:bCs/>
                <w:color w:val="000000"/>
                <w:sz w:val="18"/>
                <w:szCs w:val="18"/>
                <w:lang w:bidi="ar"/>
              </w:rPr>
            </w:pPr>
            <w:r>
              <w:rPr>
                <w:rFonts w:ascii="等线" w:eastAsia="等线" w:hAnsi="等线" w:cs="等线" w:hint="eastAsia"/>
                <w:bCs/>
                <w:color w:val="000000"/>
                <w:sz w:val="18"/>
                <w:szCs w:val="18"/>
                <w:lang w:bidi="ar"/>
              </w:rPr>
              <w:t>CPU颗数</w:t>
            </w:r>
          </w:p>
        </w:tc>
        <w:tc>
          <w:tcPr>
            <w:tcW w:w="8828" w:type="dxa"/>
            <w:gridSpan w:val="2"/>
            <w:tcMar>
              <w:top w:w="12" w:type="dxa"/>
              <w:left w:w="12" w:type="dxa"/>
              <w:right w:w="12" w:type="dxa"/>
            </w:tcMar>
            <w:vAlign w:val="center"/>
          </w:tcPr>
          <w:p w:rsidR="00CD36AD" w:rsidRDefault="00CD36AD" w:rsidP="00CD36AD">
            <w:pPr>
              <w:spacing w:line="0" w:lineRule="atLeast"/>
              <w:jc w:val="center"/>
              <w:textAlignment w:val="center"/>
              <w:rPr>
                <w:rFonts w:ascii="等线" w:eastAsia="等线" w:hAnsi="等线" w:cs="等线" w:hint="eastAsia"/>
                <w:bCs/>
                <w:color w:val="303133"/>
                <w:sz w:val="18"/>
                <w:szCs w:val="18"/>
                <w:lang w:bidi="ar"/>
              </w:rPr>
            </w:pPr>
            <w:r>
              <w:rPr>
                <w:rFonts w:ascii="等线" w:eastAsia="等线" w:hAnsi="等线" w:cs="等线" w:hint="eastAsia"/>
                <w:bCs/>
                <w:color w:val="303133"/>
                <w:sz w:val="18"/>
                <w:szCs w:val="18"/>
                <w:lang w:bidi="ar"/>
              </w:rPr>
              <w:t>2</w:t>
            </w:r>
          </w:p>
        </w:tc>
      </w:tr>
      <w:tr w:rsidR="009E1C74" w:rsidTr="009E1C74">
        <w:trPr>
          <w:trHeight w:val="457"/>
        </w:trPr>
        <w:tc>
          <w:tcPr>
            <w:tcW w:w="1276" w:type="dxa"/>
            <w:shd w:val="clear" w:color="auto" w:fill="F2F2F2" w:themeFill="background1" w:themeFillShade="F2"/>
            <w:tcMar>
              <w:top w:w="12" w:type="dxa"/>
              <w:left w:w="12" w:type="dxa"/>
              <w:right w:w="12" w:type="dxa"/>
            </w:tcMar>
            <w:vAlign w:val="center"/>
          </w:tcPr>
          <w:p w:rsidR="009E1C74" w:rsidRDefault="009E1C74">
            <w:pPr>
              <w:spacing w:line="0" w:lineRule="atLeast"/>
              <w:jc w:val="center"/>
              <w:textAlignment w:val="center"/>
              <w:rPr>
                <w:rFonts w:ascii="等线" w:eastAsia="等线" w:hAnsi="等线" w:cs="等线" w:hint="eastAsia"/>
                <w:bCs/>
                <w:color w:val="000000"/>
                <w:sz w:val="18"/>
                <w:szCs w:val="18"/>
                <w:lang w:bidi="ar"/>
              </w:rPr>
            </w:pPr>
            <w:r>
              <w:rPr>
                <w:rFonts w:ascii="等线" w:eastAsia="等线" w:hAnsi="等线" w:cs="等线" w:hint="eastAsia"/>
                <w:bCs/>
                <w:color w:val="000000"/>
                <w:sz w:val="18"/>
                <w:szCs w:val="18"/>
                <w:lang w:bidi="ar"/>
              </w:rPr>
              <w:t>标配系统盘</w:t>
            </w:r>
          </w:p>
        </w:tc>
        <w:tc>
          <w:tcPr>
            <w:tcW w:w="4389" w:type="dxa"/>
            <w:tcMar>
              <w:top w:w="12" w:type="dxa"/>
              <w:left w:w="12" w:type="dxa"/>
              <w:right w:w="12" w:type="dxa"/>
            </w:tcMar>
            <w:vAlign w:val="center"/>
          </w:tcPr>
          <w:p w:rsidR="009E1C74" w:rsidRDefault="009E1C74">
            <w:pPr>
              <w:spacing w:line="0" w:lineRule="atLeast"/>
              <w:jc w:val="center"/>
              <w:textAlignment w:val="center"/>
              <w:rPr>
                <w:rFonts w:ascii="等线" w:eastAsia="等线" w:hAnsi="等线" w:cs="等线" w:hint="eastAsia"/>
                <w:bCs/>
                <w:color w:val="303133"/>
                <w:sz w:val="18"/>
                <w:szCs w:val="18"/>
              </w:rPr>
            </w:pPr>
            <w:r w:rsidRPr="009E1C74">
              <w:rPr>
                <w:rFonts w:ascii="等线" w:eastAsia="等线" w:hAnsi="等线" w:cs="等线"/>
                <w:bCs/>
                <w:color w:val="303133"/>
                <w:sz w:val="18"/>
                <w:szCs w:val="18"/>
              </w:rPr>
              <w:t>480GB*2</w:t>
            </w:r>
            <w:r>
              <w:rPr>
                <w:rFonts w:ascii="等线" w:eastAsia="等线" w:hAnsi="等线" w:cs="等线" w:hint="eastAsia"/>
                <w:bCs/>
                <w:color w:val="303133"/>
                <w:sz w:val="18"/>
                <w:szCs w:val="18"/>
              </w:rPr>
              <w:t xml:space="preserve"> SSD</w:t>
            </w:r>
          </w:p>
        </w:tc>
        <w:tc>
          <w:tcPr>
            <w:tcW w:w="4439" w:type="dxa"/>
            <w:vAlign w:val="center"/>
          </w:tcPr>
          <w:p w:rsidR="009E1C74" w:rsidRDefault="009E1C74">
            <w:pPr>
              <w:spacing w:line="0" w:lineRule="atLeast"/>
              <w:jc w:val="center"/>
              <w:textAlignment w:val="center"/>
              <w:rPr>
                <w:rFonts w:ascii="等线" w:eastAsia="等线" w:hAnsi="等线" w:cs="等线" w:hint="eastAsia"/>
                <w:bCs/>
                <w:color w:val="000000"/>
                <w:sz w:val="18"/>
                <w:szCs w:val="18"/>
                <w:lang w:bidi="ar"/>
              </w:rPr>
            </w:pPr>
            <w:r>
              <w:rPr>
                <w:rFonts w:ascii="等线" w:eastAsia="等线" w:hAnsi="等线" w:cs="等线" w:hint="eastAsia"/>
                <w:bCs/>
                <w:color w:val="303133"/>
                <w:sz w:val="18"/>
                <w:szCs w:val="18"/>
                <w:lang w:bidi="ar"/>
              </w:rPr>
              <w:t>24</w:t>
            </w:r>
            <w:r w:rsidRPr="009E1C74">
              <w:rPr>
                <w:rFonts w:ascii="等线" w:eastAsia="等线" w:hAnsi="等线" w:cs="等线" w:hint="eastAsia"/>
                <w:bCs/>
                <w:color w:val="303133"/>
                <w:sz w:val="18"/>
                <w:szCs w:val="18"/>
                <w:lang w:bidi="ar"/>
              </w:rPr>
              <w:t>0GB*2 SSD</w:t>
            </w:r>
          </w:p>
        </w:tc>
      </w:tr>
      <w:tr w:rsidR="00CD36AD" w:rsidTr="00943E3F">
        <w:trPr>
          <w:trHeight w:val="619"/>
        </w:trPr>
        <w:tc>
          <w:tcPr>
            <w:tcW w:w="1276" w:type="dxa"/>
            <w:shd w:val="clear" w:color="auto" w:fill="F2F2F2" w:themeFill="background1" w:themeFillShade="F2"/>
            <w:tcMar>
              <w:top w:w="12" w:type="dxa"/>
              <w:left w:w="12" w:type="dxa"/>
              <w:right w:w="12" w:type="dxa"/>
            </w:tcMar>
            <w:vAlign w:val="center"/>
          </w:tcPr>
          <w:p w:rsidR="00CD36AD" w:rsidRDefault="00CD36AD" w:rsidP="009E1C74">
            <w:pPr>
              <w:spacing w:line="0" w:lineRule="atLeast"/>
              <w:jc w:val="center"/>
              <w:textAlignment w:val="center"/>
              <w:rPr>
                <w:rFonts w:ascii="等线" w:eastAsia="等线" w:hAnsi="等线" w:cs="等线" w:hint="eastAsia"/>
                <w:bCs/>
                <w:color w:val="000000"/>
                <w:sz w:val="18"/>
                <w:szCs w:val="18"/>
                <w:lang w:bidi="ar"/>
              </w:rPr>
            </w:pPr>
            <w:proofErr w:type="gramStart"/>
            <w:r>
              <w:rPr>
                <w:rFonts w:ascii="等线" w:eastAsia="等线" w:hAnsi="等线" w:cs="等线" w:hint="eastAsia"/>
                <w:bCs/>
                <w:color w:val="000000"/>
                <w:sz w:val="18"/>
                <w:szCs w:val="18"/>
                <w:lang w:bidi="ar"/>
              </w:rPr>
              <w:t>标配盘</w:t>
            </w:r>
            <w:proofErr w:type="gramEnd"/>
            <w:r>
              <w:rPr>
                <w:rFonts w:ascii="等线" w:eastAsia="等线" w:hAnsi="等线" w:cs="等线" w:hint="eastAsia"/>
                <w:bCs/>
                <w:color w:val="000000"/>
                <w:sz w:val="18"/>
                <w:szCs w:val="18"/>
                <w:lang w:bidi="ar"/>
              </w:rPr>
              <w:t>位数</w:t>
            </w:r>
          </w:p>
        </w:tc>
        <w:tc>
          <w:tcPr>
            <w:tcW w:w="8828" w:type="dxa"/>
            <w:gridSpan w:val="2"/>
            <w:tcMar>
              <w:top w:w="12" w:type="dxa"/>
              <w:left w:w="12" w:type="dxa"/>
              <w:right w:w="12" w:type="dxa"/>
            </w:tcMar>
            <w:vAlign w:val="center"/>
          </w:tcPr>
          <w:p w:rsidR="00CD36AD" w:rsidRPr="00CD36AD" w:rsidRDefault="00CD36AD" w:rsidP="00CD36AD">
            <w:pPr>
              <w:spacing w:line="0" w:lineRule="atLeast"/>
              <w:jc w:val="center"/>
              <w:textAlignment w:val="center"/>
              <w:rPr>
                <w:rFonts w:ascii="等线" w:eastAsia="等线" w:hAnsi="等线" w:cs="等线" w:hint="eastAsia"/>
                <w:bCs/>
                <w:color w:val="303133"/>
                <w:sz w:val="18"/>
                <w:szCs w:val="18"/>
                <w:lang w:bidi="ar"/>
              </w:rPr>
            </w:pPr>
            <w:r>
              <w:rPr>
                <w:rFonts w:ascii="等线" w:eastAsia="等线" w:hAnsi="等线" w:cs="等线" w:hint="eastAsia"/>
                <w:bCs/>
                <w:color w:val="303133"/>
                <w:sz w:val="18"/>
                <w:szCs w:val="18"/>
                <w:lang w:bidi="ar"/>
              </w:rPr>
              <w:t>12</w:t>
            </w:r>
          </w:p>
        </w:tc>
      </w:tr>
      <w:tr w:rsidR="009E1C74" w:rsidTr="009E1C74">
        <w:trPr>
          <w:trHeight w:val="552"/>
        </w:trPr>
        <w:tc>
          <w:tcPr>
            <w:tcW w:w="1276" w:type="dxa"/>
            <w:shd w:val="clear" w:color="auto" w:fill="F2F2F2" w:themeFill="background1" w:themeFillShade="F2"/>
            <w:tcMar>
              <w:top w:w="12" w:type="dxa"/>
              <w:left w:w="12" w:type="dxa"/>
              <w:right w:w="12" w:type="dxa"/>
            </w:tcMar>
            <w:vAlign w:val="center"/>
          </w:tcPr>
          <w:p w:rsidR="009E1C74" w:rsidRDefault="009E1C74">
            <w:pPr>
              <w:spacing w:line="0" w:lineRule="atLeast"/>
              <w:jc w:val="center"/>
              <w:textAlignment w:val="center"/>
              <w:rPr>
                <w:rFonts w:ascii="等线" w:eastAsia="等线" w:hAnsi="等线" w:cs="等线" w:hint="eastAsia"/>
                <w:bCs/>
                <w:color w:val="000000"/>
                <w:sz w:val="18"/>
                <w:szCs w:val="18"/>
                <w:lang w:bidi="ar"/>
              </w:rPr>
            </w:pPr>
            <w:proofErr w:type="gramStart"/>
            <w:r>
              <w:rPr>
                <w:rFonts w:ascii="等线" w:eastAsia="等线" w:hAnsi="等线" w:cs="等线" w:hint="eastAsia"/>
                <w:bCs/>
                <w:color w:val="000000"/>
                <w:sz w:val="18"/>
                <w:szCs w:val="18"/>
                <w:lang w:bidi="ar"/>
              </w:rPr>
              <w:t>标配内存</w:t>
            </w:r>
            <w:proofErr w:type="gramEnd"/>
          </w:p>
        </w:tc>
        <w:tc>
          <w:tcPr>
            <w:tcW w:w="4389" w:type="dxa"/>
            <w:tcMar>
              <w:top w:w="12" w:type="dxa"/>
              <w:left w:w="12" w:type="dxa"/>
              <w:right w:w="12" w:type="dxa"/>
            </w:tcMar>
            <w:vAlign w:val="center"/>
          </w:tcPr>
          <w:p w:rsidR="009E1C74" w:rsidRDefault="009E1C74">
            <w:pPr>
              <w:spacing w:line="0" w:lineRule="atLeast"/>
              <w:jc w:val="center"/>
              <w:textAlignment w:val="center"/>
              <w:rPr>
                <w:rFonts w:ascii="等线" w:eastAsia="等线" w:hAnsi="等线" w:cs="等线" w:hint="eastAsia"/>
                <w:bCs/>
                <w:color w:val="303133"/>
                <w:sz w:val="18"/>
                <w:szCs w:val="18"/>
                <w:lang w:bidi="ar"/>
              </w:rPr>
            </w:pPr>
            <w:r>
              <w:rPr>
                <w:rFonts w:ascii="等线" w:eastAsia="等线" w:hAnsi="等线" w:cs="等线" w:hint="eastAsia"/>
                <w:bCs/>
                <w:color w:val="303133"/>
                <w:sz w:val="18"/>
                <w:szCs w:val="18"/>
                <w:lang w:bidi="ar"/>
              </w:rPr>
              <w:t xml:space="preserve">4*32GB </w:t>
            </w:r>
          </w:p>
          <w:p w:rsidR="009E1C74" w:rsidRDefault="009E1C74" w:rsidP="009E1C74">
            <w:pPr>
              <w:spacing w:line="0" w:lineRule="atLeast"/>
              <w:jc w:val="center"/>
              <w:textAlignment w:val="center"/>
              <w:rPr>
                <w:rFonts w:ascii="等线" w:eastAsia="等线" w:hAnsi="等线" w:cs="等线" w:hint="eastAsia"/>
                <w:bCs/>
                <w:color w:val="303133"/>
                <w:sz w:val="18"/>
                <w:szCs w:val="18"/>
                <w:lang w:bidi="ar"/>
              </w:rPr>
            </w:pPr>
            <w:r>
              <w:rPr>
                <w:rFonts w:ascii="等线" w:eastAsia="等线" w:hAnsi="等线" w:cs="等线" w:hint="eastAsia"/>
                <w:bCs/>
                <w:color w:val="303133"/>
                <w:sz w:val="18"/>
                <w:szCs w:val="18"/>
                <w:lang w:bidi="ar"/>
              </w:rPr>
              <w:t>DDR5 5600</w:t>
            </w:r>
          </w:p>
        </w:tc>
        <w:tc>
          <w:tcPr>
            <w:tcW w:w="4439" w:type="dxa"/>
            <w:vAlign w:val="center"/>
          </w:tcPr>
          <w:p w:rsidR="009E1C74" w:rsidRDefault="009E1C74">
            <w:pPr>
              <w:spacing w:line="0" w:lineRule="atLeast"/>
              <w:jc w:val="center"/>
              <w:textAlignment w:val="center"/>
              <w:rPr>
                <w:rFonts w:ascii="等线" w:eastAsia="等线" w:hAnsi="等线" w:cs="等线" w:hint="eastAsia"/>
                <w:bCs/>
                <w:color w:val="303133"/>
                <w:sz w:val="18"/>
                <w:szCs w:val="18"/>
                <w:lang w:bidi="ar"/>
              </w:rPr>
            </w:pPr>
            <w:r>
              <w:rPr>
                <w:rFonts w:ascii="等线" w:eastAsia="等线" w:hAnsi="等线" w:cs="等线" w:hint="eastAsia"/>
                <w:bCs/>
                <w:color w:val="303133"/>
                <w:sz w:val="18"/>
                <w:szCs w:val="18"/>
                <w:lang w:bidi="ar"/>
              </w:rPr>
              <w:t xml:space="preserve">4*32GB </w:t>
            </w:r>
          </w:p>
          <w:p w:rsidR="009E1C74" w:rsidRDefault="009E1C74" w:rsidP="009E1C74">
            <w:pPr>
              <w:spacing w:line="0" w:lineRule="atLeast"/>
              <w:jc w:val="center"/>
              <w:textAlignment w:val="center"/>
              <w:rPr>
                <w:rFonts w:ascii="等线" w:eastAsia="等线" w:hAnsi="等线" w:cs="等线" w:hint="eastAsia"/>
                <w:bCs/>
                <w:color w:val="303133"/>
                <w:sz w:val="18"/>
                <w:szCs w:val="18"/>
                <w:lang w:bidi="ar"/>
              </w:rPr>
            </w:pPr>
            <w:r>
              <w:rPr>
                <w:rFonts w:ascii="等线" w:eastAsia="等线" w:hAnsi="等线" w:cs="等线" w:hint="eastAsia"/>
                <w:bCs/>
                <w:color w:val="303133"/>
                <w:sz w:val="18"/>
                <w:szCs w:val="18"/>
                <w:lang w:bidi="ar"/>
              </w:rPr>
              <w:t>DDR4 2933</w:t>
            </w:r>
          </w:p>
        </w:tc>
      </w:tr>
      <w:tr w:rsidR="009E1C74" w:rsidTr="009E1C74">
        <w:trPr>
          <w:trHeight w:val="295"/>
        </w:trPr>
        <w:tc>
          <w:tcPr>
            <w:tcW w:w="1276" w:type="dxa"/>
            <w:shd w:val="clear" w:color="auto" w:fill="F2F2F2" w:themeFill="background1" w:themeFillShade="F2"/>
            <w:tcMar>
              <w:top w:w="12" w:type="dxa"/>
              <w:left w:w="12" w:type="dxa"/>
              <w:right w:w="12" w:type="dxa"/>
            </w:tcMar>
            <w:vAlign w:val="center"/>
          </w:tcPr>
          <w:p w:rsidR="009E1C74" w:rsidRDefault="009E1C74">
            <w:pPr>
              <w:spacing w:line="0" w:lineRule="atLeast"/>
              <w:jc w:val="center"/>
              <w:textAlignment w:val="center"/>
              <w:rPr>
                <w:rFonts w:ascii="等线" w:eastAsia="等线" w:hAnsi="等线" w:cs="等线" w:hint="eastAsia"/>
                <w:bCs/>
                <w:color w:val="000000"/>
                <w:sz w:val="18"/>
                <w:szCs w:val="18"/>
                <w:lang w:bidi="ar"/>
              </w:rPr>
            </w:pPr>
            <w:r>
              <w:rPr>
                <w:rFonts w:ascii="等线" w:eastAsia="等线" w:hAnsi="等线" w:cs="等线" w:hint="eastAsia"/>
                <w:bCs/>
                <w:color w:val="000000"/>
                <w:sz w:val="18"/>
                <w:szCs w:val="18"/>
                <w:lang w:bidi="ar"/>
              </w:rPr>
              <w:t>内存插槽总数</w:t>
            </w:r>
          </w:p>
        </w:tc>
        <w:tc>
          <w:tcPr>
            <w:tcW w:w="4389" w:type="dxa"/>
            <w:tcMar>
              <w:top w:w="12" w:type="dxa"/>
              <w:left w:w="12" w:type="dxa"/>
              <w:right w:w="12" w:type="dxa"/>
            </w:tcMar>
            <w:vAlign w:val="center"/>
          </w:tcPr>
          <w:p w:rsidR="009E1C74" w:rsidRDefault="009E1C74" w:rsidP="009E1C74">
            <w:pPr>
              <w:spacing w:line="0" w:lineRule="atLeast"/>
              <w:jc w:val="center"/>
              <w:textAlignment w:val="center"/>
              <w:rPr>
                <w:rFonts w:ascii="等线" w:eastAsia="等线" w:hAnsi="等线" w:cs="等线" w:hint="eastAsia"/>
                <w:bCs/>
                <w:color w:val="303133"/>
                <w:sz w:val="18"/>
                <w:szCs w:val="18"/>
                <w:lang w:bidi="ar"/>
              </w:rPr>
            </w:pPr>
            <w:r>
              <w:rPr>
                <w:rFonts w:ascii="等线" w:eastAsia="等线" w:hAnsi="等线" w:cs="等线" w:hint="eastAsia"/>
                <w:bCs/>
                <w:color w:val="303133"/>
                <w:sz w:val="18"/>
                <w:szCs w:val="18"/>
                <w:lang w:bidi="ar"/>
              </w:rPr>
              <w:t>32</w:t>
            </w:r>
          </w:p>
        </w:tc>
        <w:tc>
          <w:tcPr>
            <w:tcW w:w="4439" w:type="dxa"/>
            <w:vAlign w:val="center"/>
          </w:tcPr>
          <w:p w:rsidR="009E1C74" w:rsidRDefault="009E1C74">
            <w:pPr>
              <w:spacing w:line="0" w:lineRule="atLeast"/>
              <w:jc w:val="center"/>
              <w:textAlignment w:val="center"/>
              <w:rPr>
                <w:rFonts w:ascii="等线" w:eastAsia="等线" w:hAnsi="等线" w:cs="等线" w:hint="eastAsia"/>
                <w:bCs/>
                <w:color w:val="000000"/>
                <w:sz w:val="18"/>
                <w:szCs w:val="18"/>
                <w:lang w:bidi="ar"/>
              </w:rPr>
            </w:pPr>
            <w:r>
              <w:rPr>
                <w:rFonts w:ascii="等线" w:eastAsia="等线" w:hAnsi="等线" w:cs="等线" w:hint="eastAsia"/>
                <w:bCs/>
                <w:color w:val="303133"/>
                <w:sz w:val="18"/>
                <w:szCs w:val="18"/>
                <w:lang w:bidi="ar"/>
              </w:rPr>
              <w:t>24</w:t>
            </w:r>
          </w:p>
        </w:tc>
      </w:tr>
      <w:tr w:rsidR="009E1C74" w:rsidTr="009E1C74">
        <w:trPr>
          <w:trHeight w:val="640"/>
        </w:trPr>
        <w:tc>
          <w:tcPr>
            <w:tcW w:w="1276" w:type="dxa"/>
            <w:shd w:val="clear" w:color="auto" w:fill="F2F2F2" w:themeFill="background1" w:themeFillShade="F2"/>
            <w:tcMar>
              <w:top w:w="12" w:type="dxa"/>
              <w:left w:w="12" w:type="dxa"/>
              <w:right w:w="12" w:type="dxa"/>
            </w:tcMar>
            <w:vAlign w:val="center"/>
          </w:tcPr>
          <w:p w:rsidR="009E1C74" w:rsidRDefault="009E1C74">
            <w:pPr>
              <w:spacing w:line="0" w:lineRule="atLeast"/>
              <w:jc w:val="center"/>
              <w:textAlignment w:val="center"/>
              <w:rPr>
                <w:rFonts w:ascii="等线" w:eastAsia="等线" w:hAnsi="等线" w:cs="等线" w:hint="eastAsia"/>
                <w:bCs/>
                <w:color w:val="000000"/>
                <w:sz w:val="18"/>
                <w:szCs w:val="18"/>
                <w:lang w:bidi="ar"/>
              </w:rPr>
            </w:pPr>
            <w:r>
              <w:rPr>
                <w:rFonts w:ascii="等线" w:eastAsia="等线" w:hAnsi="等线" w:cs="等线" w:hint="eastAsia"/>
                <w:bCs/>
                <w:color w:val="000000"/>
                <w:sz w:val="18"/>
                <w:szCs w:val="18"/>
                <w:lang w:bidi="ar"/>
              </w:rPr>
              <w:t>标配网口</w:t>
            </w:r>
          </w:p>
        </w:tc>
        <w:tc>
          <w:tcPr>
            <w:tcW w:w="4389" w:type="dxa"/>
            <w:vAlign w:val="center"/>
          </w:tcPr>
          <w:p w:rsidR="009E1C74" w:rsidRDefault="009E1C74">
            <w:pPr>
              <w:spacing w:line="0" w:lineRule="atLeast"/>
              <w:jc w:val="center"/>
              <w:textAlignment w:val="center"/>
              <w:rPr>
                <w:rFonts w:ascii="等线" w:eastAsia="等线" w:hAnsi="等线" w:cs="等线" w:hint="eastAsia"/>
                <w:bCs/>
                <w:color w:val="303133"/>
                <w:sz w:val="18"/>
                <w:szCs w:val="18"/>
                <w:lang w:bidi="ar"/>
              </w:rPr>
            </w:pPr>
            <w:r>
              <w:rPr>
                <w:rFonts w:ascii="等线" w:eastAsia="等线" w:hAnsi="等线" w:cs="等线" w:hint="eastAsia"/>
                <w:bCs/>
                <w:color w:val="303133"/>
                <w:sz w:val="18"/>
                <w:szCs w:val="18"/>
                <w:lang w:bidi="ar"/>
              </w:rPr>
              <w:t>4</w:t>
            </w:r>
            <w:proofErr w:type="gramStart"/>
            <w:r>
              <w:rPr>
                <w:rFonts w:ascii="等线" w:eastAsia="等线" w:hAnsi="等线" w:cs="等线" w:hint="eastAsia"/>
                <w:bCs/>
                <w:color w:val="303133"/>
                <w:sz w:val="18"/>
                <w:szCs w:val="18"/>
                <w:lang w:bidi="ar"/>
              </w:rPr>
              <w:t>千兆电口</w:t>
            </w:r>
            <w:proofErr w:type="gramEnd"/>
            <w:r>
              <w:rPr>
                <w:rFonts w:ascii="等线" w:eastAsia="等线" w:hAnsi="等线" w:cs="等线" w:hint="eastAsia"/>
                <w:bCs/>
                <w:color w:val="303133"/>
                <w:sz w:val="18"/>
                <w:szCs w:val="18"/>
                <w:lang w:bidi="ar"/>
              </w:rPr>
              <w:t>+2</w:t>
            </w:r>
            <w:proofErr w:type="gramStart"/>
            <w:r>
              <w:rPr>
                <w:rFonts w:ascii="等线" w:eastAsia="等线" w:hAnsi="等线" w:cs="等线" w:hint="eastAsia"/>
                <w:bCs/>
                <w:color w:val="303133"/>
                <w:sz w:val="18"/>
                <w:szCs w:val="18"/>
                <w:lang w:bidi="ar"/>
              </w:rPr>
              <w:t>万兆光口</w:t>
            </w:r>
            <w:proofErr w:type="gramEnd"/>
          </w:p>
        </w:tc>
        <w:tc>
          <w:tcPr>
            <w:tcW w:w="4439" w:type="dxa"/>
            <w:vAlign w:val="center"/>
          </w:tcPr>
          <w:p w:rsidR="009E1C74" w:rsidRDefault="009E1C74">
            <w:pPr>
              <w:spacing w:line="0" w:lineRule="atLeast"/>
              <w:jc w:val="center"/>
              <w:textAlignment w:val="center"/>
              <w:rPr>
                <w:rFonts w:ascii="等线" w:eastAsia="等线" w:hAnsi="等线" w:cs="等线" w:hint="eastAsia"/>
                <w:bCs/>
                <w:color w:val="303133"/>
                <w:sz w:val="18"/>
                <w:szCs w:val="18"/>
                <w:lang w:bidi="ar"/>
              </w:rPr>
            </w:pPr>
            <w:r>
              <w:rPr>
                <w:rFonts w:ascii="等线" w:eastAsia="等线" w:hAnsi="等线" w:cs="等线" w:hint="eastAsia"/>
                <w:bCs/>
                <w:color w:val="303133"/>
                <w:sz w:val="18"/>
                <w:szCs w:val="18"/>
                <w:lang w:bidi="ar"/>
              </w:rPr>
              <w:t>6</w:t>
            </w:r>
            <w:proofErr w:type="gramStart"/>
            <w:r>
              <w:rPr>
                <w:rFonts w:ascii="等线" w:eastAsia="等线" w:hAnsi="等线" w:cs="等线" w:hint="eastAsia"/>
                <w:bCs/>
                <w:color w:val="303133"/>
                <w:sz w:val="18"/>
                <w:szCs w:val="18"/>
                <w:lang w:bidi="ar"/>
              </w:rPr>
              <w:t>千兆电口</w:t>
            </w:r>
            <w:proofErr w:type="gramEnd"/>
            <w:r>
              <w:rPr>
                <w:rFonts w:ascii="等线" w:eastAsia="等线" w:hAnsi="等线" w:cs="等线" w:hint="eastAsia"/>
                <w:bCs/>
                <w:color w:val="303133"/>
                <w:sz w:val="18"/>
                <w:szCs w:val="18"/>
                <w:lang w:bidi="ar"/>
              </w:rPr>
              <w:t>+2</w:t>
            </w:r>
            <w:proofErr w:type="gramStart"/>
            <w:r>
              <w:rPr>
                <w:rFonts w:ascii="等线" w:eastAsia="等线" w:hAnsi="等线" w:cs="等线" w:hint="eastAsia"/>
                <w:bCs/>
                <w:color w:val="303133"/>
                <w:sz w:val="18"/>
                <w:szCs w:val="18"/>
                <w:lang w:bidi="ar"/>
              </w:rPr>
              <w:t>万兆光口</w:t>
            </w:r>
            <w:proofErr w:type="gramEnd"/>
          </w:p>
        </w:tc>
      </w:tr>
      <w:tr w:rsidR="000270BE">
        <w:trPr>
          <w:trHeight w:val="388"/>
        </w:trPr>
        <w:tc>
          <w:tcPr>
            <w:tcW w:w="1276" w:type="dxa"/>
            <w:shd w:val="clear" w:color="auto" w:fill="F2F2F2" w:themeFill="background1" w:themeFillShade="F2"/>
            <w:tcMar>
              <w:top w:w="12" w:type="dxa"/>
              <w:left w:w="12" w:type="dxa"/>
              <w:right w:w="12" w:type="dxa"/>
            </w:tcMar>
            <w:vAlign w:val="center"/>
          </w:tcPr>
          <w:p w:rsidR="000270BE" w:rsidRDefault="00000000">
            <w:pPr>
              <w:spacing w:line="0" w:lineRule="atLeast"/>
              <w:jc w:val="center"/>
              <w:textAlignment w:val="center"/>
              <w:rPr>
                <w:rFonts w:ascii="等线" w:eastAsia="等线" w:hAnsi="等线" w:cs="等线" w:hint="eastAsia"/>
                <w:bCs/>
                <w:color w:val="000000"/>
                <w:sz w:val="18"/>
                <w:szCs w:val="18"/>
                <w:lang w:bidi="ar"/>
              </w:rPr>
            </w:pPr>
            <w:r>
              <w:rPr>
                <w:rFonts w:ascii="等线" w:eastAsia="等线" w:hAnsi="等线" w:cs="等线" w:hint="eastAsia"/>
                <w:bCs/>
                <w:color w:val="000000"/>
                <w:sz w:val="18"/>
                <w:szCs w:val="18"/>
                <w:lang w:bidi="ar"/>
              </w:rPr>
              <w:t>电源类别</w:t>
            </w:r>
          </w:p>
        </w:tc>
        <w:tc>
          <w:tcPr>
            <w:tcW w:w="8828" w:type="dxa"/>
            <w:gridSpan w:val="2"/>
            <w:vAlign w:val="center"/>
          </w:tcPr>
          <w:p w:rsidR="000270BE" w:rsidRDefault="00000000">
            <w:pPr>
              <w:spacing w:line="0" w:lineRule="atLeast"/>
              <w:jc w:val="center"/>
              <w:textAlignment w:val="center"/>
              <w:rPr>
                <w:rFonts w:ascii="等线" w:eastAsia="等线" w:hAnsi="等线" w:cs="等线" w:hint="eastAsia"/>
                <w:bCs/>
                <w:color w:val="303133"/>
                <w:sz w:val="18"/>
                <w:szCs w:val="18"/>
                <w:lang w:bidi="ar"/>
              </w:rPr>
            </w:pPr>
            <w:r>
              <w:rPr>
                <w:rFonts w:ascii="等线" w:eastAsia="等线" w:hAnsi="等线" w:cs="等线" w:hint="eastAsia"/>
                <w:bCs/>
                <w:color w:val="303133"/>
                <w:sz w:val="18"/>
                <w:szCs w:val="18"/>
                <w:lang w:bidi="ar"/>
              </w:rPr>
              <w:t>冗余电源（白金）</w:t>
            </w:r>
          </w:p>
        </w:tc>
      </w:tr>
      <w:tr w:rsidR="009E1C74" w:rsidTr="009E1C74">
        <w:trPr>
          <w:trHeight w:val="388"/>
        </w:trPr>
        <w:tc>
          <w:tcPr>
            <w:tcW w:w="1276" w:type="dxa"/>
            <w:shd w:val="clear" w:color="auto" w:fill="F2F2F2" w:themeFill="background1" w:themeFillShade="F2"/>
            <w:tcMar>
              <w:top w:w="12" w:type="dxa"/>
              <w:left w:w="12" w:type="dxa"/>
              <w:right w:w="12" w:type="dxa"/>
            </w:tcMar>
            <w:vAlign w:val="center"/>
          </w:tcPr>
          <w:p w:rsidR="009E1C74" w:rsidRDefault="009E1C74">
            <w:pPr>
              <w:spacing w:line="0" w:lineRule="atLeast"/>
              <w:jc w:val="center"/>
              <w:textAlignment w:val="center"/>
              <w:rPr>
                <w:rFonts w:ascii="等线" w:eastAsia="等线" w:hAnsi="等线" w:cs="等线" w:hint="eastAsia"/>
                <w:bCs/>
                <w:color w:val="000000"/>
                <w:sz w:val="18"/>
                <w:szCs w:val="18"/>
                <w:lang w:bidi="ar"/>
              </w:rPr>
            </w:pPr>
            <w:r>
              <w:rPr>
                <w:rFonts w:ascii="等线" w:eastAsia="等线" w:hAnsi="等线" w:cs="等线" w:hint="eastAsia"/>
                <w:bCs/>
                <w:color w:val="000000"/>
                <w:sz w:val="18"/>
                <w:szCs w:val="18"/>
                <w:lang w:bidi="ar"/>
              </w:rPr>
              <w:t>电源规格</w:t>
            </w:r>
          </w:p>
        </w:tc>
        <w:tc>
          <w:tcPr>
            <w:tcW w:w="4389" w:type="dxa"/>
            <w:tcMar>
              <w:top w:w="12" w:type="dxa"/>
              <w:left w:w="12" w:type="dxa"/>
              <w:right w:w="12" w:type="dxa"/>
            </w:tcMar>
            <w:vAlign w:val="center"/>
          </w:tcPr>
          <w:p w:rsidR="009E1C74" w:rsidRDefault="009E1C74">
            <w:pPr>
              <w:spacing w:line="0" w:lineRule="atLeast"/>
              <w:jc w:val="center"/>
              <w:textAlignment w:val="center"/>
              <w:rPr>
                <w:rFonts w:ascii="等线" w:eastAsia="等线" w:hAnsi="等线" w:cs="等线" w:hint="eastAsia"/>
                <w:bCs/>
                <w:color w:val="303133"/>
                <w:sz w:val="18"/>
                <w:szCs w:val="18"/>
                <w:lang w:bidi="ar"/>
              </w:rPr>
            </w:pPr>
            <w:r w:rsidRPr="009E1C74">
              <w:rPr>
                <w:rFonts w:ascii="等线" w:eastAsia="等线" w:hAnsi="等线" w:cs="等线" w:hint="eastAsia"/>
                <w:bCs/>
                <w:color w:val="303133"/>
                <w:sz w:val="18"/>
                <w:szCs w:val="18"/>
                <w:lang w:bidi="ar"/>
              </w:rPr>
              <w:t>1300W或1600W或1500W或2000W[100-240VAC ] [240VDC ]</w:t>
            </w:r>
          </w:p>
        </w:tc>
        <w:tc>
          <w:tcPr>
            <w:tcW w:w="4439" w:type="dxa"/>
            <w:vAlign w:val="center"/>
          </w:tcPr>
          <w:p w:rsidR="009E1C74" w:rsidRDefault="009E1C74">
            <w:pPr>
              <w:spacing w:line="0" w:lineRule="atLeast"/>
              <w:jc w:val="center"/>
              <w:textAlignment w:val="center"/>
              <w:rPr>
                <w:rFonts w:ascii="等线" w:eastAsia="等线" w:hAnsi="等线" w:cs="等线" w:hint="eastAsia"/>
                <w:bCs/>
                <w:color w:val="303133"/>
                <w:sz w:val="18"/>
                <w:szCs w:val="18"/>
                <w:lang w:bidi="ar"/>
              </w:rPr>
            </w:pPr>
            <w:r w:rsidRPr="009E1C74">
              <w:rPr>
                <w:rFonts w:ascii="等线" w:eastAsia="等线" w:hAnsi="等线" w:cs="等线" w:hint="eastAsia"/>
                <w:bCs/>
                <w:color w:val="303133"/>
                <w:sz w:val="18"/>
                <w:szCs w:val="18"/>
                <w:lang w:bidi="ar"/>
              </w:rPr>
              <w:t>550W或800W或900W [100-240VAC ] [240VDC ]</w:t>
            </w:r>
          </w:p>
        </w:tc>
      </w:tr>
      <w:tr w:rsidR="009E1C74" w:rsidTr="00DA2C8A">
        <w:trPr>
          <w:trHeight w:val="388"/>
        </w:trPr>
        <w:tc>
          <w:tcPr>
            <w:tcW w:w="1276" w:type="dxa"/>
            <w:shd w:val="clear" w:color="auto" w:fill="F2F2F2" w:themeFill="background1" w:themeFillShade="F2"/>
            <w:tcMar>
              <w:top w:w="12" w:type="dxa"/>
              <w:left w:w="12" w:type="dxa"/>
              <w:right w:w="12" w:type="dxa"/>
            </w:tcMar>
            <w:vAlign w:val="center"/>
          </w:tcPr>
          <w:p w:rsidR="009E1C74" w:rsidRDefault="009E1C74">
            <w:pPr>
              <w:spacing w:line="0" w:lineRule="atLeast"/>
              <w:jc w:val="center"/>
              <w:textAlignment w:val="center"/>
              <w:rPr>
                <w:rFonts w:ascii="等线" w:eastAsia="等线" w:hAnsi="等线" w:cs="等线" w:hint="eastAsia"/>
                <w:bCs/>
                <w:color w:val="000000"/>
                <w:sz w:val="18"/>
                <w:szCs w:val="18"/>
                <w:lang w:bidi="ar"/>
              </w:rPr>
            </w:pPr>
            <w:r>
              <w:rPr>
                <w:rFonts w:ascii="等线" w:eastAsia="等线" w:hAnsi="等线" w:cs="等线" w:hint="eastAsia"/>
                <w:bCs/>
                <w:color w:val="000000"/>
                <w:sz w:val="18"/>
                <w:szCs w:val="18"/>
                <w:lang w:bidi="ar"/>
              </w:rPr>
              <w:t>支持GPU</w:t>
            </w:r>
          </w:p>
          <w:p w:rsidR="009E1C74" w:rsidRDefault="009E1C74">
            <w:pPr>
              <w:spacing w:line="0" w:lineRule="atLeast"/>
              <w:jc w:val="center"/>
              <w:textAlignment w:val="center"/>
              <w:rPr>
                <w:rFonts w:ascii="等线" w:eastAsia="等线" w:hAnsi="等线" w:cs="等线" w:hint="eastAsia"/>
                <w:bCs/>
                <w:color w:val="000000"/>
                <w:sz w:val="18"/>
                <w:szCs w:val="18"/>
                <w:lang w:bidi="ar"/>
              </w:rPr>
            </w:pPr>
            <w:r>
              <w:rPr>
                <w:rFonts w:ascii="等线" w:eastAsia="等线" w:hAnsi="等线" w:cs="等线" w:hint="eastAsia"/>
                <w:bCs/>
                <w:color w:val="000000"/>
                <w:sz w:val="18"/>
                <w:szCs w:val="18"/>
                <w:lang w:bidi="ar"/>
              </w:rPr>
              <w:t>显卡张数</w:t>
            </w:r>
          </w:p>
        </w:tc>
        <w:tc>
          <w:tcPr>
            <w:tcW w:w="8828" w:type="dxa"/>
            <w:gridSpan w:val="2"/>
            <w:tcMar>
              <w:top w:w="12" w:type="dxa"/>
              <w:left w:w="12" w:type="dxa"/>
              <w:right w:w="12" w:type="dxa"/>
            </w:tcMar>
            <w:vAlign w:val="center"/>
          </w:tcPr>
          <w:p w:rsidR="009E1C74" w:rsidRDefault="009E1C74" w:rsidP="009E1C74">
            <w:pPr>
              <w:spacing w:line="0" w:lineRule="atLeast"/>
              <w:jc w:val="center"/>
              <w:textAlignment w:val="center"/>
              <w:rPr>
                <w:rFonts w:ascii="等线" w:eastAsia="等线" w:hAnsi="等线" w:cs="等线" w:hint="eastAsia"/>
                <w:bCs/>
                <w:color w:val="303133"/>
                <w:sz w:val="18"/>
                <w:szCs w:val="18"/>
                <w:lang w:bidi="ar"/>
              </w:rPr>
            </w:pPr>
            <w:r>
              <w:rPr>
                <w:rFonts w:ascii="等线" w:eastAsia="等线" w:hAnsi="等线" w:cs="等线" w:hint="eastAsia"/>
                <w:bCs/>
                <w:color w:val="303133"/>
                <w:sz w:val="18"/>
                <w:szCs w:val="18"/>
                <w:lang w:bidi="ar"/>
              </w:rPr>
              <w:t>不支持</w:t>
            </w:r>
          </w:p>
        </w:tc>
      </w:tr>
      <w:tr w:rsidR="009E1C74" w:rsidTr="009E1C74">
        <w:trPr>
          <w:trHeight w:val="388"/>
        </w:trPr>
        <w:tc>
          <w:tcPr>
            <w:tcW w:w="1276" w:type="dxa"/>
            <w:shd w:val="clear" w:color="auto" w:fill="F2F2F2" w:themeFill="background1" w:themeFillShade="F2"/>
            <w:tcMar>
              <w:top w:w="12" w:type="dxa"/>
              <w:left w:w="12" w:type="dxa"/>
              <w:right w:w="12" w:type="dxa"/>
            </w:tcMar>
            <w:vAlign w:val="center"/>
          </w:tcPr>
          <w:p w:rsidR="009E1C74" w:rsidRDefault="009E1C74">
            <w:pPr>
              <w:spacing w:line="0" w:lineRule="atLeast"/>
              <w:jc w:val="center"/>
              <w:textAlignment w:val="center"/>
              <w:rPr>
                <w:rFonts w:ascii="等线" w:eastAsia="等线" w:hAnsi="等线" w:cs="等线" w:hint="eastAsia"/>
                <w:bCs/>
                <w:color w:val="000000"/>
                <w:sz w:val="18"/>
                <w:szCs w:val="18"/>
                <w:lang w:bidi="ar"/>
              </w:rPr>
            </w:pPr>
            <w:r>
              <w:rPr>
                <w:rFonts w:ascii="等线" w:eastAsia="等线" w:hAnsi="等线" w:cs="等线" w:hint="eastAsia"/>
                <w:bCs/>
                <w:color w:val="000000"/>
                <w:sz w:val="18"/>
                <w:szCs w:val="18"/>
                <w:lang w:bidi="ar"/>
              </w:rPr>
              <w:t>剩余可用</w:t>
            </w:r>
          </w:p>
          <w:p w:rsidR="009E1C74" w:rsidRDefault="009E1C74">
            <w:pPr>
              <w:spacing w:line="0" w:lineRule="atLeast"/>
              <w:jc w:val="center"/>
              <w:textAlignment w:val="center"/>
              <w:rPr>
                <w:rFonts w:ascii="等线" w:eastAsia="等线" w:hAnsi="等线" w:cs="等线" w:hint="eastAsia"/>
                <w:bCs/>
                <w:color w:val="000000"/>
                <w:sz w:val="18"/>
                <w:szCs w:val="18"/>
              </w:rPr>
            </w:pPr>
            <w:r>
              <w:rPr>
                <w:rFonts w:ascii="等线" w:eastAsia="等线" w:hAnsi="等线" w:cs="等线" w:hint="eastAsia"/>
                <w:bCs/>
                <w:color w:val="000000"/>
                <w:sz w:val="18"/>
                <w:szCs w:val="18"/>
                <w:lang w:bidi="ar"/>
              </w:rPr>
              <w:t>PCI-E插槽数</w:t>
            </w:r>
          </w:p>
        </w:tc>
        <w:tc>
          <w:tcPr>
            <w:tcW w:w="4389" w:type="dxa"/>
            <w:tcMar>
              <w:top w:w="12" w:type="dxa"/>
              <w:left w:w="12" w:type="dxa"/>
              <w:right w:w="12" w:type="dxa"/>
            </w:tcMar>
            <w:vAlign w:val="center"/>
          </w:tcPr>
          <w:p w:rsidR="009E1C74" w:rsidRDefault="009E1C74">
            <w:pPr>
              <w:spacing w:line="0" w:lineRule="atLeast"/>
              <w:jc w:val="center"/>
              <w:textAlignment w:val="center"/>
              <w:rPr>
                <w:rFonts w:ascii="等线" w:eastAsia="等线" w:hAnsi="等线" w:cs="等线" w:hint="eastAsia"/>
                <w:bCs/>
                <w:color w:val="303133"/>
                <w:sz w:val="18"/>
                <w:szCs w:val="18"/>
                <w:lang w:bidi="ar"/>
              </w:rPr>
            </w:pPr>
            <w:r>
              <w:rPr>
                <w:rFonts w:ascii="等线" w:eastAsia="等线" w:hAnsi="等线" w:cs="等线" w:hint="eastAsia"/>
                <w:bCs/>
                <w:color w:val="303133"/>
                <w:sz w:val="18"/>
                <w:szCs w:val="18"/>
                <w:lang w:bidi="ar"/>
              </w:rPr>
              <w:t>2</w:t>
            </w:r>
          </w:p>
        </w:tc>
        <w:tc>
          <w:tcPr>
            <w:tcW w:w="4439" w:type="dxa"/>
            <w:tcMar>
              <w:top w:w="12" w:type="dxa"/>
              <w:left w:w="12" w:type="dxa"/>
              <w:right w:w="12" w:type="dxa"/>
            </w:tcMar>
            <w:vAlign w:val="center"/>
          </w:tcPr>
          <w:p w:rsidR="009E1C74" w:rsidRDefault="009E1C74">
            <w:pPr>
              <w:spacing w:line="0" w:lineRule="atLeast"/>
              <w:jc w:val="center"/>
              <w:textAlignment w:val="center"/>
              <w:rPr>
                <w:rFonts w:ascii="等线" w:eastAsia="等线" w:hAnsi="等线" w:cs="等线" w:hint="eastAsia"/>
                <w:bCs/>
                <w:color w:val="303133"/>
                <w:sz w:val="18"/>
                <w:szCs w:val="18"/>
                <w:lang w:bidi="ar"/>
              </w:rPr>
            </w:pPr>
            <w:r>
              <w:rPr>
                <w:rFonts w:ascii="等线" w:eastAsia="等线" w:hAnsi="等线" w:cs="等线" w:hint="eastAsia"/>
                <w:bCs/>
                <w:color w:val="303133"/>
                <w:sz w:val="18"/>
                <w:szCs w:val="18"/>
                <w:lang w:bidi="ar"/>
              </w:rPr>
              <w:t>1</w:t>
            </w:r>
          </w:p>
        </w:tc>
      </w:tr>
      <w:tr w:rsidR="009E1C74" w:rsidTr="009E1C74">
        <w:trPr>
          <w:trHeight w:val="388"/>
        </w:trPr>
        <w:tc>
          <w:tcPr>
            <w:tcW w:w="1276" w:type="dxa"/>
            <w:shd w:val="clear" w:color="auto" w:fill="F2F2F2" w:themeFill="background1" w:themeFillShade="F2"/>
            <w:tcMar>
              <w:top w:w="12" w:type="dxa"/>
              <w:left w:w="12" w:type="dxa"/>
              <w:right w:w="12" w:type="dxa"/>
            </w:tcMar>
            <w:vAlign w:val="center"/>
          </w:tcPr>
          <w:p w:rsidR="009E1C74" w:rsidRDefault="009E1C74">
            <w:pPr>
              <w:spacing w:line="0" w:lineRule="atLeast"/>
              <w:jc w:val="center"/>
              <w:textAlignment w:val="center"/>
              <w:rPr>
                <w:rFonts w:ascii="等线" w:eastAsia="等线" w:hAnsi="等线" w:cs="等线" w:hint="eastAsia"/>
                <w:bCs/>
                <w:color w:val="000000"/>
                <w:sz w:val="18"/>
                <w:szCs w:val="18"/>
                <w:lang w:bidi="ar"/>
              </w:rPr>
            </w:pPr>
            <w:r>
              <w:rPr>
                <w:rFonts w:ascii="等线" w:eastAsia="等线" w:hAnsi="等线" w:cs="等线" w:hint="eastAsia"/>
                <w:bCs/>
                <w:color w:val="000000"/>
                <w:sz w:val="18"/>
                <w:szCs w:val="18"/>
                <w:lang w:bidi="ar"/>
              </w:rPr>
              <w:t>USB接口数量</w:t>
            </w:r>
          </w:p>
        </w:tc>
        <w:tc>
          <w:tcPr>
            <w:tcW w:w="4389" w:type="dxa"/>
            <w:vAlign w:val="center"/>
          </w:tcPr>
          <w:p w:rsidR="009E1C74" w:rsidRDefault="009E1C74">
            <w:pPr>
              <w:spacing w:line="0" w:lineRule="atLeast"/>
              <w:jc w:val="center"/>
              <w:textAlignment w:val="center"/>
              <w:rPr>
                <w:rFonts w:ascii="等线" w:eastAsia="等线" w:hAnsi="等线" w:cs="等线" w:hint="eastAsia"/>
                <w:bCs/>
                <w:color w:val="303133"/>
                <w:sz w:val="18"/>
                <w:szCs w:val="18"/>
                <w:lang w:bidi="ar"/>
              </w:rPr>
            </w:pPr>
            <w:r>
              <w:rPr>
                <w:rFonts w:ascii="等线" w:eastAsia="等线" w:hAnsi="等线" w:cs="等线" w:hint="eastAsia"/>
                <w:bCs/>
                <w:color w:val="303133"/>
                <w:sz w:val="18"/>
                <w:szCs w:val="18"/>
                <w:lang w:bidi="ar"/>
              </w:rPr>
              <w:t>4*USB 3.0</w:t>
            </w:r>
          </w:p>
        </w:tc>
        <w:tc>
          <w:tcPr>
            <w:tcW w:w="4439" w:type="dxa"/>
            <w:vAlign w:val="center"/>
          </w:tcPr>
          <w:p w:rsidR="009E1C74" w:rsidRDefault="009E1C74">
            <w:pPr>
              <w:spacing w:line="0" w:lineRule="atLeast"/>
              <w:jc w:val="center"/>
              <w:textAlignment w:val="center"/>
              <w:rPr>
                <w:rFonts w:ascii="等线" w:eastAsia="等线" w:hAnsi="等线" w:cs="等线" w:hint="eastAsia"/>
                <w:bCs/>
                <w:color w:val="303133"/>
                <w:sz w:val="18"/>
                <w:szCs w:val="18"/>
                <w:lang w:bidi="ar"/>
              </w:rPr>
            </w:pPr>
            <w:r w:rsidRPr="009E1C74">
              <w:rPr>
                <w:rFonts w:ascii="等线" w:eastAsia="等线" w:hAnsi="等线" w:cs="等线" w:hint="eastAsia"/>
                <w:bCs/>
                <w:color w:val="303133"/>
                <w:sz w:val="18"/>
                <w:szCs w:val="18"/>
                <w:lang w:bidi="ar"/>
              </w:rPr>
              <w:t>2*USB2.0+2*USB3.0</w:t>
            </w:r>
          </w:p>
        </w:tc>
      </w:tr>
      <w:tr w:rsidR="000270BE">
        <w:trPr>
          <w:trHeight w:val="464"/>
        </w:trPr>
        <w:tc>
          <w:tcPr>
            <w:tcW w:w="1276" w:type="dxa"/>
            <w:shd w:val="clear" w:color="auto" w:fill="F2F2F2" w:themeFill="background1" w:themeFillShade="F2"/>
            <w:tcMar>
              <w:top w:w="12" w:type="dxa"/>
              <w:left w:w="12" w:type="dxa"/>
              <w:right w:w="12" w:type="dxa"/>
            </w:tcMar>
            <w:vAlign w:val="center"/>
          </w:tcPr>
          <w:p w:rsidR="000270BE" w:rsidRDefault="00000000">
            <w:pPr>
              <w:spacing w:line="0" w:lineRule="atLeast"/>
              <w:jc w:val="center"/>
              <w:textAlignment w:val="center"/>
              <w:rPr>
                <w:rFonts w:ascii="等线" w:eastAsia="等线" w:hAnsi="等线" w:cs="等线" w:hint="eastAsia"/>
                <w:bCs/>
                <w:color w:val="000000"/>
                <w:sz w:val="18"/>
                <w:szCs w:val="18"/>
                <w:lang w:bidi="ar"/>
              </w:rPr>
            </w:pPr>
            <w:r>
              <w:rPr>
                <w:rFonts w:ascii="等线" w:eastAsia="等线" w:hAnsi="等线" w:cs="等线" w:hint="eastAsia"/>
                <w:bCs/>
                <w:color w:val="000000"/>
                <w:sz w:val="18"/>
                <w:szCs w:val="18"/>
                <w:lang w:bidi="ar"/>
              </w:rPr>
              <w:t>VGA接口数量</w:t>
            </w:r>
          </w:p>
        </w:tc>
        <w:tc>
          <w:tcPr>
            <w:tcW w:w="8828" w:type="dxa"/>
            <w:gridSpan w:val="2"/>
            <w:vAlign w:val="center"/>
          </w:tcPr>
          <w:p w:rsidR="000270BE" w:rsidRDefault="00000000">
            <w:pPr>
              <w:spacing w:line="0" w:lineRule="atLeast"/>
              <w:jc w:val="center"/>
              <w:textAlignment w:val="center"/>
              <w:rPr>
                <w:rFonts w:ascii="等线" w:eastAsia="等线" w:hAnsi="等线" w:cs="等线" w:hint="eastAsia"/>
                <w:bCs/>
                <w:color w:val="303133"/>
                <w:sz w:val="18"/>
                <w:szCs w:val="18"/>
                <w:lang w:bidi="ar"/>
              </w:rPr>
            </w:pPr>
            <w:r>
              <w:rPr>
                <w:rFonts w:ascii="等线" w:eastAsia="等线" w:hAnsi="等线" w:cs="等线" w:hint="eastAsia"/>
                <w:bCs/>
                <w:color w:val="303133"/>
                <w:sz w:val="18"/>
                <w:szCs w:val="18"/>
                <w:lang w:bidi="ar"/>
              </w:rPr>
              <w:t>1</w:t>
            </w:r>
          </w:p>
        </w:tc>
      </w:tr>
    </w:tbl>
    <w:p w:rsidR="000270BE" w:rsidRDefault="000270BE">
      <w:pPr>
        <w:rPr>
          <w:rFonts w:ascii="微软雅黑" w:eastAsia="微软雅黑" w:hAnsi="微软雅黑" w:hint="eastAsia"/>
          <w:b/>
          <w:sz w:val="21"/>
        </w:rPr>
      </w:pPr>
    </w:p>
    <w:p w:rsidR="000270BE" w:rsidRDefault="000270BE">
      <w:pPr>
        <w:spacing w:line="320" w:lineRule="exact"/>
        <w:rPr>
          <w:rFonts w:ascii="微软雅黑" w:eastAsia="微软雅黑" w:hAnsi="微软雅黑" w:hint="eastAsia"/>
          <w:color w:val="7F7F7F" w:themeColor="text1" w:themeTint="80"/>
          <w:sz w:val="18"/>
        </w:rPr>
      </w:pPr>
    </w:p>
    <w:p w:rsidR="000270BE" w:rsidRDefault="00000000">
      <w:pPr>
        <w:numPr>
          <w:ilvl w:val="0"/>
          <w:numId w:val="1"/>
        </w:numPr>
        <w:autoSpaceDE w:val="0"/>
        <w:autoSpaceDN w:val="0"/>
        <w:adjustRightInd w:val="0"/>
        <w:spacing w:line="360" w:lineRule="auto"/>
        <w:rPr>
          <w:rFonts w:ascii="微软雅黑" w:eastAsia="微软雅黑" w:hAnsi="微软雅黑" w:cs="Hannotate SC Regular" w:hint="eastAsia"/>
          <w:b/>
          <w:sz w:val="21"/>
          <w:szCs w:val="21"/>
        </w:rPr>
      </w:pPr>
      <w:r>
        <w:rPr>
          <w:rFonts w:ascii="微软雅黑" w:eastAsia="微软雅黑" w:hAnsi="微软雅黑" w:cs="Hannotate SC Regular" w:hint="eastAsia"/>
          <w:b/>
          <w:sz w:val="21"/>
          <w:szCs w:val="21"/>
        </w:rPr>
        <w:t>超融合软件主要功能</w:t>
      </w:r>
    </w:p>
    <w:tbl>
      <w:tblPr>
        <w:tblW w:w="5000" w:type="pct"/>
        <w:jc w:val="center"/>
        <w:tblLook w:val="04A0" w:firstRow="1" w:lastRow="0" w:firstColumn="1" w:lastColumn="0" w:noHBand="0" w:noVBand="1"/>
      </w:tblPr>
      <w:tblGrid>
        <w:gridCol w:w="1734"/>
        <w:gridCol w:w="7996"/>
      </w:tblGrid>
      <w:tr w:rsidR="000270BE">
        <w:trPr>
          <w:trHeight w:val="360"/>
          <w:jc w:val="center"/>
        </w:trPr>
        <w:tc>
          <w:tcPr>
            <w:tcW w:w="89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270BE" w:rsidRDefault="00000000">
            <w:pPr>
              <w:jc w:val="center"/>
              <w:rPr>
                <w:rFonts w:ascii="微软雅黑" w:eastAsia="微软雅黑" w:hAnsi="微软雅黑" w:hint="eastAsia"/>
                <w:b/>
                <w:bCs/>
                <w:sz w:val="18"/>
                <w:szCs w:val="18"/>
              </w:rPr>
            </w:pPr>
            <w:r>
              <w:rPr>
                <w:rFonts w:ascii="微软雅黑" w:eastAsia="微软雅黑" w:hAnsi="微软雅黑" w:hint="eastAsia"/>
                <w:b/>
                <w:bCs/>
                <w:sz w:val="18"/>
                <w:szCs w:val="18"/>
              </w:rPr>
              <w:t>功能模块</w:t>
            </w:r>
          </w:p>
        </w:tc>
        <w:tc>
          <w:tcPr>
            <w:tcW w:w="4109" w:type="pct"/>
            <w:tcBorders>
              <w:top w:val="single" w:sz="4" w:space="0" w:color="auto"/>
              <w:left w:val="nil"/>
              <w:bottom w:val="single" w:sz="4" w:space="0" w:color="auto"/>
              <w:right w:val="single" w:sz="4" w:space="0" w:color="auto"/>
            </w:tcBorders>
            <w:shd w:val="clear" w:color="auto" w:fill="C6D9F1" w:themeFill="text2" w:themeFillTint="33"/>
            <w:vAlign w:val="center"/>
          </w:tcPr>
          <w:p w:rsidR="000270BE" w:rsidRDefault="00000000">
            <w:pPr>
              <w:jc w:val="center"/>
              <w:rPr>
                <w:rFonts w:ascii="微软雅黑" w:eastAsia="微软雅黑" w:hAnsi="微软雅黑" w:hint="eastAsia"/>
                <w:b/>
                <w:bCs/>
                <w:sz w:val="18"/>
                <w:szCs w:val="18"/>
              </w:rPr>
            </w:pPr>
            <w:r>
              <w:rPr>
                <w:rFonts w:ascii="微软雅黑" w:eastAsia="微软雅黑" w:hAnsi="微软雅黑" w:hint="eastAsia"/>
                <w:b/>
                <w:bCs/>
                <w:sz w:val="18"/>
                <w:szCs w:val="18"/>
              </w:rPr>
              <w:t>功能描述</w:t>
            </w:r>
          </w:p>
        </w:tc>
      </w:tr>
      <w:tr w:rsidR="000270BE">
        <w:trPr>
          <w:trHeight w:val="20"/>
          <w:jc w:val="center"/>
        </w:trPr>
        <w:tc>
          <w:tcPr>
            <w:tcW w:w="891" w:type="pct"/>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00000">
            <w:pPr>
              <w:jc w:val="center"/>
              <w:rPr>
                <w:rFonts w:ascii="微软雅黑" w:eastAsia="微软雅黑" w:hAnsi="微软雅黑" w:hint="eastAsia"/>
                <w:b/>
                <w:bCs/>
                <w:sz w:val="18"/>
                <w:szCs w:val="18"/>
              </w:rPr>
            </w:pPr>
            <w:r>
              <w:rPr>
                <w:rFonts w:ascii="微软雅黑" w:eastAsia="微软雅黑" w:hAnsi="微软雅黑" w:hint="eastAsia"/>
                <w:b/>
                <w:bCs/>
                <w:sz w:val="18"/>
                <w:szCs w:val="18"/>
              </w:rPr>
              <w:t>超融合管理平台</w:t>
            </w: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融合一体化产品，出厂即具备虚拟化特性，上电开机即可快速登陆虚拟化管理界面进行</w:t>
            </w:r>
            <w:proofErr w:type="gramStart"/>
            <w:r>
              <w:rPr>
                <w:rFonts w:ascii="微软雅黑" w:eastAsia="微软雅黑" w:hAnsi="微软雅黑" w:hint="eastAsia"/>
                <w:sz w:val="18"/>
                <w:szCs w:val="18"/>
              </w:rPr>
              <w:t>虚机管理</w:t>
            </w:r>
            <w:proofErr w:type="gramEnd"/>
            <w:r>
              <w:rPr>
                <w:rFonts w:ascii="微软雅黑" w:eastAsia="微软雅黑" w:hAnsi="微软雅黑" w:hint="eastAsia"/>
                <w:sz w:val="18"/>
                <w:szCs w:val="18"/>
              </w:rPr>
              <w:t>操作，简单易用，免去软硬件兼容性问题</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支持平台中的集群资源环境一键检测，对硬件健康、平台底层的虚拟化的运行状态和配置，进行多个维度进行检查，提供快速定位问题功能，确保系统最佳状态。</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支持对超融合一体机的硬件平台进行监控和大屏展示，包含CPU，内存，网卡，硬盘，存储，RAID等硬件健康检测，便于及时发现问题并提供相应异常检测项的恢复指导建议；</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虚拟化管理平台具备监控功能，对资源池中CPU、网络、磁盘使用率等指标进行实时的数据统计，当指标超过设置的阈值，可以通过多种方式（短信、邮箱）告知管理员进行排障。</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虚拟化内核组件基于开源KVM二次开发，提供对计算虚拟</w:t>
            </w:r>
            <w:proofErr w:type="gramStart"/>
            <w:r>
              <w:rPr>
                <w:rFonts w:ascii="微软雅黑" w:eastAsia="微软雅黑" w:hAnsi="微软雅黑" w:hint="eastAsia"/>
                <w:sz w:val="18"/>
                <w:szCs w:val="18"/>
              </w:rPr>
              <w:t>化资源</w:t>
            </w:r>
            <w:proofErr w:type="gramEnd"/>
            <w:r>
              <w:rPr>
                <w:rFonts w:ascii="微软雅黑" w:eastAsia="微软雅黑" w:hAnsi="微软雅黑" w:hint="eastAsia"/>
                <w:sz w:val="18"/>
                <w:szCs w:val="18"/>
              </w:rPr>
              <w:t>的全生命周期管理。</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支持纳管第三方主流虚拟化平台，提供对</w:t>
            </w:r>
            <w:proofErr w:type="spellStart"/>
            <w:r>
              <w:rPr>
                <w:rFonts w:ascii="微软雅黑" w:eastAsia="微软雅黑" w:hAnsi="微软雅黑" w:hint="eastAsia"/>
                <w:sz w:val="18"/>
                <w:szCs w:val="18"/>
              </w:rPr>
              <w:t>Vmware</w:t>
            </w:r>
            <w:proofErr w:type="spellEnd"/>
            <w:r>
              <w:rPr>
                <w:rFonts w:ascii="微软雅黑" w:eastAsia="微软雅黑" w:hAnsi="微软雅黑" w:hint="eastAsia"/>
                <w:sz w:val="18"/>
                <w:szCs w:val="18"/>
              </w:rPr>
              <w:t>平台上的虚拟机进行管理。</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支持在本地管理平台实现对VMware vCenter中的虚拟机备份，并能够在超融合的平台实现VMware虚拟机的启动恢复；</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支持双向迁移，可将VMware虚拟机在运行状态下迁移到超融合平台上，也可将超融合平台上的虚拟机在运行状态下迁移到VMware vCenter的集群中，迁移后可选择自动或手动重启虚拟机。</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自动收集所有的相关的组件的日志，告警，提供告警合并和日志审计功能。</w:t>
            </w:r>
          </w:p>
        </w:tc>
      </w:tr>
      <w:tr w:rsidR="000270BE">
        <w:trPr>
          <w:trHeight w:val="20"/>
          <w:jc w:val="center"/>
        </w:trPr>
        <w:tc>
          <w:tcPr>
            <w:tcW w:w="891" w:type="pct"/>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00000">
            <w:pPr>
              <w:jc w:val="center"/>
              <w:rPr>
                <w:rFonts w:ascii="微软雅黑" w:eastAsia="微软雅黑" w:hAnsi="微软雅黑" w:hint="eastAsia"/>
                <w:b/>
                <w:bCs/>
                <w:sz w:val="18"/>
                <w:szCs w:val="18"/>
              </w:rPr>
            </w:pPr>
            <w:r>
              <w:rPr>
                <w:rFonts w:ascii="微软雅黑" w:eastAsia="微软雅黑" w:hAnsi="微软雅黑" w:hint="eastAsia"/>
                <w:b/>
                <w:bCs/>
                <w:sz w:val="18"/>
                <w:szCs w:val="18"/>
              </w:rPr>
              <w:t>计算虚拟化组件</w:t>
            </w: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虚拟化软件非OEM或贴牌产品，以保证功能的可靠性和安全性</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虚拟机之间进行隔离保护，任何一个虚拟机发生故障都不会影响同一个物理机上的其它虚拟机正常运行，以保障系统平台的安全性</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虚拟机具有</w:t>
            </w:r>
            <w:proofErr w:type="gramStart"/>
            <w:r>
              <w:rPr>
                <w:rFonts w:ascii="微软雅黑" w:eastAsia="微软雅黑" w:hAnsi="微软雅黑" w:hint="eastAsia"/>
                <w:sz w:val="18"/>
                <w:szCs w:val="18"/>
              </w:rPr>
              <w:t>物理机</w:t>
            </w:r>
            <w:proofErr w:type="gramEnd"/>
            <w:r>
              <w:rPr>
                <w:rFonts w:ascii="微软雅黑" w:eastAsia="微软雅黑" w:hAnsi="微软雅黑" w:hint="eastAsia"/>
                <w:sz w:val="18"/>
                <w:szCs w:val="18"/>
              </w:rPr>
              <w:t>的全部功能，如具有自己的资源（内存、CPU、网卡、存储），可以指定单独的IP地址、MAC地址等</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虚拟机都可以安装独立的操作系统，为获得良好的兼容性,</w:t>
            </w:r>
            <w:r>
              <w:rPr>
                <w:rFonts w:ascii="微软雅黑" w:eastAsia="微软雅黑" w:hAnsi="微软雅黑"/>
                <w:sz w:val="18"/>
                <w:szCs w:val="18"/>
              </w:rPr>
              <w:t xml:space="preserve"> </w:t>
            </w:r>
            <w:r>
              <w:rPr>
                <w:rFonts w:ascii="微软雅黑" w:eastAsia="微软雅黑" w:hAnsi="微软雅黑" w:hint="eastAsia"/>
                <w:sz w:val="18"/>
                <w:szCs w:val="18"/>
              </w:rPr>
              <w:t>操作系统支持Windows、 Linux，并且支持国产操作系统包括：红旗</w:t>
            </w:r>
            <w:proofErr w:type="spellStart"/>
            <w:r>
              <w:rPr>
                <w:rFonts w:ascii="微软雅黑" w:eastAsia="微软雅黑" w:hAnsi="微软雅黑" w:hint="eastAsia"/>
                <w:sz w:val="18"/>
                <w:szCs w:val="18"/>
              </w:rPr>
              <w:t>linux</w:t>
            </w:r>
            <w:proofErr w:type="spellEnd"/>
            <w:r>
              <w:rPr>
                <w:rFonts w:ascii="微软雅黑" w:eastAsia="微软雅黑" w:hAnsi="微软雅黑" w:hint="eastAsia"/>
                <w:sz w:val="18"/>
                <w:szCs w:val="18"/>
              </w:rPr>
              <w:t>、中标麒麟、中标普华、深度</w:t>
            </w:r>
            <w:proofErr w:type="spellStart"/>
            <w:r>
              <w:rPr>
                <w:rFonts w:ascii="微软雅黑" w:eastAsia="微软雅黑" w:hAnsi="微软雅黑" w:hint="eastAsia"/>
                <w:sz w:val="18"/>
                <w:szCs w:val="18"/>
              </w:rPr>
              <w:t>linux</w:t>
            </w:r>
            <w:proofErr w:type="spellEnd"/>
            <w:r>
              <w:rPr>
                <w:rFonts w:ascii="微软雅黑" w:eastAsia="微软雅黑" w:hAnsi="微软雅黑" w:hint="eastAsia"/>
                <w:sz w:val="18"/>
                <w:szCs w:val="18"/>
              </w:rPr>
              <w:t>等</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虚拟化软件基于KVM开发，部署时无需绑定安装OpenStack相关组件,</w:t>
            </w:r>
            <w:r>
              <w:rPr>
                <w:rFonts w:ascii="微软雅黑" w:eastAsia="微软雅黑" w:hAnsi="微软雅黑"/>
                <w:sz w:val="18"/>
                <w:szCs w:val="18"/>
              </w:rPr>
              <w:t xml:space="preserve"> </w:t>
            </w:r>
            <w:r>
              <w:rPr>
                <w:rFonts w:ascii="微软雅黑" w:eastAsia="微软雅黑" w:hAnsi="微软雅黑" w:hint="eastAsia"/>
                <w:sz w:val="18"/>
                <w:szCs w:val="18"/>
              </w:rPr>
              <w:t>可维护性好</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超融合管理平台管理界面提供虚拟机启动、挂起与恢复、重启、关闭、关闭电源、迁移、克隆、备份、模板导出、快照等功能，并支持支持批量管理虚拟机，包括批量开机、关机、重启、删除等。</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支持虚拟机HA功能。当物理服务器发生故障时，可将该物理服务器上所有的虚拟机迁移到集群内其他物理服务器上重新启动，保障业务连续性。</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支持配置动态资源扩展(DRX</w:t>
            </w:r>
            <w:r>
              <w:rPr>
                <w:rFonts w:ascii="微软雅黑" w:eastAsia="微软雅黑" w:hAnsi="微软雅黑"/>
                <w:sz w:val="18"/>
                <w:szCs w:val="18"/>
              </w:rPr>
              <w:t>)</w:t>
            </w:r>
            <w:r>
              <w:rPr>
                <w:rFonts w:ascii="微软雅黑" w:eastAsia="微软雅黑" w:hAnsi="微软雅黑" w:hint="eastAsia"/>
                <w:sz w:val="18"/>
                <w:szCs w:val="18"/>
              </w:rPr>
              <w:t>功能，系统实时监控虚拟机的内存、CPU资源的消耗，当虚拟机资源不足时自动为虚拟机添加CPU和内存资源，确保业务持续高效运行。</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支持配置集群动态资源调度(DRS</w:t>
            </w:r>
            <w:r>
              <w:rPr>
                <w:rFonts w:ascii="微软雅黑" w:eastAsia="微软雅黑" w:hAnsi="微软雅黑"/>
                <w:sz w:val="18"/>
                <w:szCs w:val="18"/>
              </w:rPr>
              <w:t>)</w:t>
            </w:r>
            <w:r>
              <w:rPr>
                <w:rFonts w:ascii="微软雅黑" w:eastAsia="微软雅黑" w:hAnsi="微软雅黑" w:hint="eastAsia"/>
                <w:sz w:val="18"/>
                <w:szCs w:val="18"/>
              </w:rPr>
              <w:t>功能，通过跨集群心跳机制,</w:t>
            </w:r>
            <w:r>
              <w:rPr>
                <w:rFonts w:ascii="微软雅黑" w:eastAsia="微软雅黑" w:hAnsi="微软雅黑"/>
                <w:sz w:val="18"/>
                <w:szCs w:val="18"/>
              </w:rPr>
              <w:t xml:space="preserve"> </w:t>
            </w:r>
            <w:r>
              <w:rPr>
                <w:rFonts w:ascii="微软雅黑" w:eastAsia="微软雅黑" w:hAnsi="微软雅黑" w:hint="eastAsia"/>
                <w:sz w:val="18"/>
                <w:szCs w:val="18"/>
              </w:rPr>
              <w:t>系统实时监测物理主机的负载情况，当物理主机负载过高时，通过虚拟机迁移技术自动将该物理主机上的虚拟机迁移到其他负载较低的主机上，确保业务持续高效运行和集群主机负载均衡。</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提供集群文件系统功能，通过集群文件系统为虚拟机提供存储资源，允许多个</w:t>
            </w:r>
            <w:proofErr w:type="gramStart"/>
            <w:r>
              <w:rPr>
                <w:rFonts w:ascii="微软雅黑" w:eastAsia="微软雅黑" w:hAnsi="微软雅黑" w:hint="eastAsia"/>
                <w:sz w:val="18"/>
                <w:szCs w:val="18"/>
              </w:rPr>
              <w:t>虚机镜像</w:t>
            </w:r>
            <w:proofErr w:type="gramEnd"/>
            <w:r>
              <w:rPr>
                <w:rFonts w:ascii="微软雅黑" w:eastAsia="微软雅黑" w:hAnsi="微软雅黑" w:hint="eastAsia"/>
                <w:sz w:val="18"/>
                <w:szCs w:val="18"/>
              </w:rPr>
              <w:t>使用同一个虚拟存储卷，支持文件系统在线扩容,</w:t>
            </w:r>
            <w:r>
              <w:rPr>
                <w:rFonts w:ascii="微软雅黑" w:eastAsia="微软雅黑" w:hAnsi="微软雅黑"/>
                <w:sz w:val="18"/>
                <w:szCs w:val="18"/>
              </w:rPr>
              <w:t xml:space="preserve"> </w:t>
            </w:r>
            <w:r>
              <w:rPr>
                <w:rFonts w:ascii="微软雅黑" w:eastAsia="微软雅黑" w:hAnsi="微软雅黑" w:hint="eastAsia"/>
                <w:sz w:val="18"/>
                <w:szCs w:val="18"/>
              </w:rPr>
              <w:t>简化虚拟机的部署和管理</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支持虚拟机</w:t>
            </w:r>
            <w:r>
              <w:rPr>
                <w:rFonts w:ascii="微软雅黑" w:eastAsia="微软雅黑" w:hAnsi="微软雅黑"/>
                <w:sz w:val="18"/>
                <w:szCs w:val="18"/>
              </w:rPr>
              <w:t>CPU频率QoS</w:t>
            </w:r>
            <w:r>
              <w:rPr>
                <w:rFonts w:ascii="微软雅黑" w:eastAsia="微软雅黑" w:hAnsi="微软雅黑" w:hint="eastAsia"/>
                <w:sz w:val="18"/>
                <w:szCs w:val="18"/>
              </w:rPr>
              <w:t>，可设置</w:t>
            </w:r>
            <w:r>
              <w:rPr>
                <w:rFonts w:ascii="微软雅黑" w:eastAsia="微软雅黑" w:hAnsi="微软雅黑"/>
                <w:sz w:val="18"/>
                <w:szCs w:val="18"/>
              </w:rPr>
              <w:t>CPU限制</w:t>
            </w:r>
            <w:r>
              <w:rPr>
                <w:rFonts w:ascii="微软雅黑" w:eastAsia="微软雅黑" w:hAnsi="微软雅黑" w:hint="eastAsia"/>
                <w:sz w:val="18"/>
                <w:szCs w:val="18"/>
              </w:rPr>
              <w:t>（</w:t>
            </w:r>
            <w:r>
              <w:rPr>
                <w:rFonts w:ascii="微软雅黑" w:eastAsia="微软雅黑" w:hAnsi="微软雅黑"/>
                <w:sz w:val="18"/>
                <w:szCs w:val="18"/>
              </w:rPr>
              <w:t>100MHz-1000GHz</w:t>
            </w:r>
            <w:r>
              <w:rPr>
                <w:rFonts w:ascii="微软雅黑" w:eastAsia="微软雅黑" w:hAnsi="微软雅黑" w:hint="eastAsia"/>
                <w:sz w:val="18"/>
                <w:szCs w:val="18"/>
              </w:rPr>
              <w:t>），为集群省出</w:t>
            </w:r>
            <w:r>
              <w:rPr>
                <w:rFonts w:ascii="微软雅黑" w:eastAsia="微软雅黑" w:hAnsi="微软雅黑"/>
                <w:sz w:val="18"/>
                <w:szCs w:val="18"/>
              </w:rPr>
              <w:t>CPU资源。</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提供合理的内存调度机制和内存回收机制，实现虚拟化平台内存资源的动态复用，并支持手动设置内存超配机制，能够实现内存的过量使用，保证内存资源的充分利用，从而保障业务的稳定性。</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支持主动</w:t>
            </w:r>
            <w:proofErr w:type="gramStart"/>
            <w:r>
              <w:rPr>
                <w:rFonts w:ascii="微软雅黑" w:eastAsia="微软雅黑" w:hAnsi="微软雅黑" w:hint="eastAsia"/>
                <w:sz w:val="18"/>
                <w:szCs w:val="18"/>
              </w:rPr>
              <w:t>扫描全</w:t>
            </w:r>
            <w:proofErr w:type="gramEnd"/>
            <w:r>
              <w:rPr>
                <w:rFonts w:ascii="微软雅黑" w:eastAsia="微软雅黑" w:hAnsi="微软雅黑" w:hint="eastAsia"/>
                <w:sz w:val="18"/>
                <w:szCs w:val="18"/>
              </w:rPr>
              <w:t>内存，检查物理主机的</w:t>
            </w:r>
            <w:r>
              <w:rPr>
                <w:rFonts w:ascii="微软雅黑" w:eastAsia="微软雅黑" w:hAnsi="微软雅黑"/>
                <w:sz w:val="18"/>
                <w:szCs w:val="18"/>
              </w:rPr>
              <w:t>ECC CE和UE错误，能够将CE和UE内存空间进行隔离</w:t>
            </w:r>
            <w:r>
              <w:rPr>
                <w:rFonts w:ascii="微软雅黑" w:eastAsia="微软雅黑" w:hAnsi="微软雅黑" w:hint="eastAsia"/>
                <w:sz w:val="18"/>
                <w:szCs w:val="18"/>
              </w:rPr>
              <w:t>，减少内存的硬件问题对业务的影响</w:t>
            </w:r>
            <w:r>
              <w:rPr>
                <w:rFonts w:ascii="微软雅黑" w:eastAsia="微软雅黑" w:hAnsi="微软雅黑"/>
                <w:sz w:val="18"/>
                <w:szCs w:val="18"/>
              </w:rPr>
              <w:t>。</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支持资源热添加,</w:t>
            </w:r>
            <w:r>
              <w:rPr>
                <w:rFonts w:ascii="微软雅黑" w:eastAsia="微软雅黑" w:hAnsi="微软雅黑"/>
                <w:sz w:val="18"/>
                <w:szCs w:val="18"/>
              </w:rPr>
              <w:t xml:space="preserve"> </w:t>
            </w:r>
            <w:r>
              <w:rPr>
                <w:rFonts w:ascii="微软雅黑" w:eastAsia="微软雅黑" w:hAnsi="微软雅黑" w:hint="eastAsia"/>
                <w:sz w:val="18"/>
                <w:szCs w:val="18"/>
              </w:rPr>
              <w:t>包括CPU、内存、磁盘、网卡，无需中断业务即可实现虚拟资源的在线添加。</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支持虚拟机的无代理备份，无备份数据容量限制,</w:t>
            </w:r>
            <w:r>
              <w:rPr>
                <w:rFonts w:ascii="微软雅黑" w:eastAsia="微软雅黑" w:hAnsi="微软雅黑"/>
                <w:sz w:val="18"/>
                <w:szCs w:val="18"/>
              </w:rPr>
              <w:t xml:space="preserve"> </w:t>
            </w:r>
            <w:r>
              <w:rPr>
                <w:rFonts w:ascii="微软雅黑" w:eastAsia="微软雅黑" w:hAnsi="微软雅黑" w:hint="eastAsia"/>
                <w:sz w:val="18"/>
                <w:szCs w:val="18"/>
              </w:rPr>
              <w:t>能提供至少100个虚拟机的高性能备份功能，可将直接将虚拟机备份到磁盘，并支持生成全新虚拟机的方式进行恢复。</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支持设置定期全量备份、增量备份、差异备份（支持增量差异即基于上次增量做差异备份，不支持累积差异即基于首次全备做差异增量），支持用户灵活配置备份策略，备份文件保留时间最高可以达到</w:t>
            </w:r>
            <w:r>
              <w:rPr>
                <w:rFonts w:ascii="微软雅黑" w:eastAsia="微软雅黑" w:hAnsi="微软雅黑"/>
                <w:sz w:val="18"/>
                <w:szCs w:val="18"/>
              </w:rPr>
              <w:t>15年，支持将虚拟机的备份文件定期归档到第二存储，最多可以保留100年</w:t>
            </w:r>
            <w:r>
              <w:rPr>
                <w:rFonts w:ascii="微软雅黑" w:eastAsia="微软雅黑" w:hAnsi="微软雅黑" w:hint="eastAsia"/>
                <w:sz w:val="18"/>
                <w:szCs w:val="18"/>
              </w:rPr>
              <w:t>。</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支持创建备份复制策略，按照设定的配置策略定期对虚拟机的备份进行复制。同时支持</w:t>
            </w:r>
            <w:proofErr w:type="gramStart"/>
            <w:r>
              <w:rPr>
                <w:rFonts w:ascii="微软雅黑" w:eastAsia="微软雅黑" w:hAnsi="微软雅黑" w:hint="eastAsia"/>
                <w:sz w:val="18"/>
                <w:szCs w:val="18"/>
              </w:rPr>
              <w:t>手动对</w:t>
            </w:r>
            <w:proofErr w:type="gramEnd"/>
            <w:r>
              <w:rPr>
                <w:rFonts w:ascii="微软雅黑" w:eastAsia="微软雅黑" w:hAnsi="微软雅黑" w:hint="eastAsia"/>
                <w:sz w:val="18"/>
                <w:szCs w:val="18"/>
              </w:rPr>
              <w:t>虚拟机的备份复制到其他存储。</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w:t>
            </w:r>
            <w:r>
              <w:rPr>
                <w:rFonts w:ascii="微软雅黑" w:eastAsia="微软雅黑" w:hAnsi="微软雅黑"/>
                <w:sz w:val="18"/>
                <w:szCs w:val="18"/>
              </w:rPr>
              <w:t>Linux虚拟机</w:t>
            </w:r>
            <w:r>
              <w:rPr>
                <w:rFonts w:ascii="微软雅黑" w:eastAsia="微软雅黑" w:hAnsi="微软雅黑" w:hint="eastAsia"/>
                <w:sz w:val="18"/>
                <w:szCs w:val="18"/>
              </w:rPr>
              <w:t>无代理备份，能</w:t>
            </w:r>
            <w:r>
              <w:rPr>
                <w:rFonts w:ascii="微软雅黑" w:eastAsia="微软雅黑" w:hAnsi="微软雅黑"/>
                <w:sz w:val="18"/>
                <w:szCs w:val="18"/>
              </w:rPr>
              <w:t>通过备份找回</w:t>
            </w:r>
            <w:r>
              <w:rPr>
                <w:rFonts w:ascii="微软雅黑" w:eastAsia="微软雅黑" w:hAnsi="微软雅黑" w:hint="eastAsia"/>
                <w:sz w:val="18"/>
                <w:szCs w:val="18"/>
              </w:rPr>
              <w:t>误删</w:t>
            </w:r>
            <w:r>
              <w:rPr>
                <w:rFonts w:ascii="微软雅黑" w:eastAsia="微软雅黑" w:hAnsi="微软雅黑"/>
                <w:sz w:val="18"/>
                <w:szCs w:val="18"/>
              </w:rPr>
              <w:t>文件</w:t>
            </w:r>
            <w:r>
              <w:rPr>
                <w:rFonts w:ascii="微软雅黑" w:eastAsia="微软雅黑" w:hAnsi="微软雅黑" w:hint="eastAsia"/>
                <w:sz w:val="18"/>
                <w:szCs w:val="18"/>
              </w:rPr>
              <w:t>，不需要恢复整个虚拟机</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提供虚拟机回收站功能，防止因误删除虚拟机导致数据丢失，回收站文件可保留3</w:t>
            </w:r>
            <w:r>
              <w:rPr>
                <w:rFonts w:ascii="微软雅黑" w:eastAsia="微软雅黑" w:hAnsi="微软雅黑"/>
                <w:sz w:val="18"/>
                <w:szCs w:val="18"/>
              </w:rPr>
              <w:t>0</w:t>
            </w:r>
            <w:r>
              <w:rPr>
                <w:rFonts w:ascii="微软雅黑" w:eastAsia="微软雅黑" w:hAnsi="微软雅黑" w:hint="eastAsia"/>
                <w:sz w:val="18"/>
                <w:szCs w:val="18"/>
              </w:rPr>
              <w:t>天,</w:t>
            </w:r>
            <w:r>
              <w:rPr>
                <w:rFonts w:ascii="微软雅黑" w:eastAsia="微软雅黑" w:hAnsi="微软雅黑"/>
                <w:sz w:val="18"/>
                <w:szCs w:val="18"/>
              </w:rPr>
              <w:t xml:space="preserve"> </w:t>
            </w:r>
            <w:r>
              <w:rPr>
                <w:rFonts w:ascii="微软雅黑" w:eastAsia="微软雅黑" w:hAnsi="微软雅黑" w:hint="eastAsia"/>
                <w:sz w:val="18"/>
                <w:szCs w:val="18"/>
              </w:rPr>
              <w:t>超期的文件将被自动删除</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支持无代理跨物理主机的虚拟机USB映射，无需在虚拟机上安装客户端插件时即可使用USB KEY，且虚拟机迁移到其它物理主机后可自动挂载原USB资源，对于业务的自适应能力、使用便捷性更佳。</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sz w:val="18"/>
                <w:szCs w:val="18"/>
              </w:rPr>
              <w:t>为尽可能保障数据中心断电场景下的业务</w:t>
            </w:r>
            <w:r>
              <w:rPr>
                <w:rFonts w:ascii="微软雅黑" w:eastAsia="微软雅黑" w:hAnsi="微软雅黑" w:hint="eastAsia"/>
                <w:sz w:val="18"/>
                <w:szCs w:val="18"/>
              </w:rPr>
              <w:t>正常运行</w:t>
            </w:r>
            <w:r>
              <w:rPr>
                <w:rFonts w:ascii="微软雅黑" w:eastAsia="微软雅黑" w:hAnsi="微软雅黑"/>
                <w:sz w:val="18"/>
                <w:szCs w:val="18"/>
              </w:rPr>
              <w:t>，支持与APC的UPS联动，并在市电断电通过UPS临时供应电量，当UPS电量多低时，按照虚拟机优先级先将不重要的虚拟机进行软关机</w:t>
            </w:r>
            <w:r>
              <w:rPr>
                <w:rFonts w:ascii="微软雅黑" w:eastAsia="微软雅黑" w:hAnsi="微软雅黑" w:hint="eastAsia"/>
                <w:sz w:val="18"/>
                <w:szCs w:val="18"/>
              </w:rPr>
              <w:t>。</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支持虚拟机分组视图的功能，管理员可根据部门或者业务类型等将虚拟机划分到不同的目录，进行统一管理。</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支持在线的带存储的虚拟机迁移功能，可以在</w:t>
            </w:r>
            <w:proofErr w:type="gramStart"/>
            <w:r>
              <w:rPr>
                <w:rFonts w:ascii="微软雅黑" w:eastAsia="微软雅黑" w:hAnsi="微软雅黑" w:hint="eastAsia"/>
                <w:sz w:val="18"/>
                <w:szCs w:val="18"/>
              </w:rPr>
              <w:t>不</w:t>
            </w:r>
            <w:proofErr w:type="gramEnd"/>
            <w:r>
              <w:rPr>
                <w:rFonts w:ascii="微软雅黑" w:eastAsia="微软雅黑" w:hAnsi="微软雅黑" w:hint="eastAsia"/>
                <w:sz w:val="18"/>
                <w:szCs w:val="18"/>
              </w:rPr>
              <w:t>停机状态下和非共享存储的环境中，实现虚拟机在集群内的不同物理机上迁移，保障业务连续性。</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支持虚拟机跨集群的虚拟机迁移，支持在</w:t>
            </w:r>
            <w:proofErr w:type="gramStart"/>
            <w:r>
              <w:rPr>
                <w:rFonts w:ascii="微软雅黑" w:eastAsia="微软雅黑" w:hAnsi="微软雅黑" w:hint="eastAsia"/>
                <w:sz w:val="18"/>
                <w:szCs w:val="18"/>
              </w:rPr>
              <w:t>不</w:t>
            </w:r>
            <w:proofErr w:type="gramEnd"/>
            <w:r>
              <w:rPr>
                <w:rFonts w:ascii="微软雅黑" w:eastAsia="微软雅黑" w:hAnsi="微软雅黑" w:hint="eastAsia"/>
                <w:sz w:val="18"/>
                <w:szCs w:val="18"/>
              </w:rPr>
              <w:t>停机的状态下跨集群迁移。</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当虚拟机Windows、Linux操作系统出现故障时，可以自动重</w:t>
            </w:r>
            <w:proofErr w:type="gramStart"/>
            <w:r>
              <w:rPr>
                <w:rFonts w:ascii="微软雅黑" w:eastAsia="微软雅黑" w:hAnsi="微软雅黑" w:hint="eastAsia"/>
                <w:sz w:val="18"/>
                <w:szCs w:val="18"/>
              </w:rPr>
              <w:t>启或者</w:t>
            </w:r>
            <w:proofErr w:type="gramEnd"/>
            <w:r>
              <w:rPr>
                <w:rFonts w:ascii="微软雅黑" w:eastAsia="微软雅黑" w:hAnsi="微软雅黑" w:hint="eastAsia"/>
                <w:sz w:val="18"/>
                <w:szCs w:val="18"/>
              </w:rPr>
              <w:t>迁移该虚拟机，保障业务连续性。</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支持以EXCEL表格的方式导出虚拟机的配置信息，包括名称、IP、资源配置、使用率信息等。</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支持灵活的告警管理及阈值配置功能，提供告警开关。</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支持设置告警类型（紧急和普通）、告警内容（集群、主机、虚拟机、CPU、内存、磁盘），针对告警信息平台可自动给出告警处理建议，同时支持将告警信息以短信和邮件方式发送给管理员</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主机资源告警项支持主机CPU利用率、主机内存利用率，主机交换分区利用率，主机CPU温度异常，主机网口丢包率，并检测异常状态持续时间；支持主机网关不通，主机网口掉线，主机离线，数据通信口不通的监控告警，用户可自定义告警项并支持通过邮件和短信进行告警</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虚拟机资源告警项支持虚拟机CPU利用率、内存利用率，虚拟机单网口链接session数过高，并检测异常状态持续时间，支持检测虚拟机镜像文件损坏，备份失败，虚拟机与外部网络不通的监控告警，用户可自定义告警项并支持通过邮件和短信进行告警</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管理界面提供基础的命令行功能，通过命令行可以进行基础的排障操作，简化用户运维操作。</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支持虚拟机卡死及蓝屏的检测功能并实现自动重启，无需人工干预，减少运维工作量</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支持IO重试，当存储出现故障，导致虚拟机无法读取存储数据时，自动挂起虚拟机，避免业务故障。</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支持对平台虚拟机的精细化权限管理，可根据单个虚拟机开关机、打开控制台、删除等操作设定不同的权限，管理员也可以根据用户需求合理分配权限。</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sz w:val="18"/>
                <w:szCs w:val="18"/>
              </w:rPr>
              <w:t>支持与安全产品联动，当发生僵尸网络、勒索病毒、挖矿安全事故时，实现自动隔离中毒云主机，并提供故障前一刻的业务安全状态供恢复，将安全事故损失最小化，支持将病毒虚拟机关机或挂起，避免挖坑</w:t>
            </w:r>
            <w:r>
              <w:rPr>
                <w:rFonts w:ascii="微软雅黑" w:eastAsia="微软雅黑" w:hAnsi="微软雅黑" w:hint="eastAsia"/>
                <w:sz w:val="18"/>
                <w:szCs w:val="18"/>
              </w:rPr>
              <w:t>业务</w:t>
            </w:r>
            <w:r>
              <w:rPr>
                <w:rFonts w:ascii="微软雅黑" w:eastAsia="微软雅黑" w:hAnsi="微软雅黑"/>
                <w:sz w:val="18"/>
                <w:szCs w:val="18"/>
              </w:rPr>
              <w:t>消耗整个平台的性能。</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虚拟化的管理平台、支持扩展同一品牌的存储虚拟化、网络功能虚拟化、虚拟应用防火墙、虚拟应用交付、SSL VPN软件、数据库审计软件等功能组件的，并支持统一管理，以保障平台的扩展性和兼容性。</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提前识别亚健康</w:t>
            </w:r>
            <w:r>
              <w:rPr>
                <w:rFonts w:ascii="微软雅黑" w:eastAsia="微软雅黑" w:hAnsi="微软雅黑"/>
                <w:sz w:val="18"/>
                <w:szCs w:val="18"/>
              </w:rPr>
              <w:t>/假死主机（内存（内存</w:t>
            </w:r>
            <w:proofErr w:type="spellStart"/>
            <w:r>
              <w:rPr>
                <w:rFonts w:ascii="微软雅黑" w:eastAsia="微软雅黑" w:hAnsi="微软雅黑"/>
                <w:sz w:val="18"/>
                <w:szCs w:val="18"/>
              </w:rPr>
              <w:t>ecc</w:t>
            </w:r>
            <w:proofErr w:type="spellEnd"/>
            <w:r>
              <w:rPr>
                <w:rFonts w:ascii="微软雅黑" w:eastAsia="微软雅黑" w:hAnsi="微软雅黑"/>
                <w:sz w:val="18"/>
                <w:szCs w:val="18"/>
              </w:rPr>
              <w:t>和</w:t>
            </w:r>
            <w:proofErr w:type="spellStart"/>
            <w:r>
              <w:rPr>
                <w:rFonts w:ascii="微软雅黑" w:eastAsia="微软雅黑" w:hAnsi="微软雅黑"/>
                <w:sz w:val="18"/>
                <w:szCs w:val="18"/>
              </w:rPr>
              <w:t>uecc</w:t>
            </w:r>
            <w:proofErr w:type="spellEnd"/>
            <w:r>
              <w:rPr>
                <w:rFonts w:ascii="微软雅黑" w:eastAsia="微软雅黑" w:hAnsi="微软雅黑"/>
                <w:sz w:val="18"/>
                <w:szCs w:val="18"/>
              </w:rPr>
              <w:t>）、系统盘（坏道、寿命小于12%、系统盘只读）），预防和规避主机故障风险。</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提供同品牌自</w:t>
            </w:r>
            <w:proofErr w:type="gramStart"/>
            <w:r>
              <w:rPr>
                <w:rFonts w:ascii="微软雅黑" w:eastAsia="微软雅黑" w:hAnsi="微软雅黑" w:hint="eastAsia"/>
                <w:sz w:val="18"/>
                <w:szCs w:val="18"/>
              </w:rPr>
              <w:t>研</w:t>
            </w:r>
            <w:proofErr w:type="gramEnd"/>
            <w:r>
              <w:rPr>
                <w:rFonts w:ascii="微软雅黑" w:eastAsia="微软雅黑" w:hAnsi="微软雅黑" w:hint="eastAsia"/>
                <w:sz w:val="18"/>
                <w:szCs w:val="18"/>
              </w:rPr>
              <w:t>的迁移工具，无需采购第三方迁移服务，支持</w:t>
            </w:r>
            <w:proofErr w:type="gramStart"/>
            <w:r>
              <w:rPr>
                <w:rFonts w:ascii="微软雅黑" w:eastAsia="微软雅黑" w:hAnsi="微软雅黑" w:hint="eastAsia"/>
                <w:sz w:val="18"/>
                <w:szCs w:val="18"/>
              </w:rPr>
              <w:t>原主机</w:t>
            </w:r>
            <w:proofErr w:type="gramEnd"/>
            <w:r>
              <w:rPr>
                <w:rFonts w:ascii="微软雅黑" w:eastAsia="微软雅黑" w:hAnsi="微软雅黑" w:hint="eastAsia"/>
                <w:sz w:val="18"/>
                <w:szCs w:val="18"/>
              </w:rPr>
              <w:t>和异构目标机（</w:t>
            </w:r>
            <w:r>
              <w:rPr>
                <w:rFonts w:ascii="微软雅黑" w:eastAsia="微软雅黑" w:hAnsi="微软雅黑"/>
                <w:sz w:val="18"/>
                <w:szCs w:val="18"/>
              </w:rPr>
              <w:t>X86物理机、虚拟机和云主机）之间的自动化迁移功能（支持P2P、P2V、P2C、V2P、V2V、V2C、C2C、C2P和C2V）</w:t>
            </w:r>
            <w:r>
              <w:rPr>
                <w:rFonts w:ascii="微软雅黑" w:eastAsia="微软雅黑" w:hAnsi="微软雅黑" w:hint="eastAsia"/>
                <w:sz w:val="18"/>
                <w:szCs w:val="18"/>
              </w:rPr>
              <w:t>。</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迁移工具支持</w:t>
            </w:r>
            <w:proofErr w:type="gramStart"/>
            <w:r>
              <w:rPr>
                <w:rFonts w:ascii="微软雅黑" w:eastAsia="微软雅黑" w:hAnsi="微软雅黑" w:hint="eastAsia"/>
                <w:sz w:val="18"/>
                <w:szCs w:val="18"/>
              </w:rPr>
              <w:t>整体灾备重建</w:t>
            </w:r>
            <w:proofErr w:type="gramEnd"/>
            <w:r>
              <w:rPr>
                <w:rFonts w:ascii="微软雅黑" w:eastAsia="微软雅黑" w:hAnsi="微软雅黑" w:hint="eastAsia"/>
                <w:sz w:val="18"/>
                <w:szCs w:val="18"/>
              </w:rPr>
              <w:t>迁移，支持任意</w:t>
            </w:r>
            <w:proofErr w:type="gramStart"/>
            <w:r>
              <w:rPr>
                <w:rFonts w:ascii="微软雅黑" w:eastAsia="微软雅黑" w:hAnsi="微软雅黑" w:hint="eastAsia"/>
                <w:sz w:val="18"/>
                <w:szCs w:val="18"/>
              </w:rPr>
              <w:t>秒</w:t>
            </w:r>
            <w:proofErr w:type="gramEnd"/>
            <w:r>
              <w:rPr>
                <w:rFonts w:ascii="微软雅黑" w:eastAsia="微软雅黑" w:hAnsi="微软雅黑" w:hint="eastAsia"/>
                <w:sz w:val="18"/>
                <w:szCs w:val="18"/>
              </w:rPr>
              <w:t>历史点回退切换，确保迁移到正常系统状态。</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迁移工具支持在线增量迁移、全量迁移以及早期增量迁移，且是迁移期间不中断业务的热迁移。</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迁移工具支持迁移验证系统，可将选定的迁移点整机启动（</w:t>
            </w:r>
            <w:r>
              <w:rPr>
                <w:rFonts w:ascii="微软雅黑" w:eastAsia="微软雅黑" w:hAnsi="微软雅黑"/>
                <w:sz w:val="18"/>
                <w:szCs w:val="18"/>
              </w:rPr>
              <w:t>OS、业务系统和数据），一键操作即可实现自动化构建迁移验证环境，管理员可模拟真实生产环境，</w:t>
            </w:r>
            <w:proofErr w:type="gramStart"/>
            <w:r>
              <w:rPr>
                <w:rFonts w:ascii="微软雅黑" w:eastAsia="微软雅黑" w:hAnsi="微软雅黑"/>
                <w:sz w:val="18"/>
                <w:szCs w:val="18"/>
              </w:rPr>
              <w:t>极</w:t>
            </w:r>
            <w:proofErr w:type="gramEnd"/>
            <w:r>
              <w:rPr>
                <w:rFonts w:ascii="微软雅黑" w:eastAsia="微软雅黑" w:hAnsi="微软雅黑"/>
                <w:sz w:val="18"/>
                <w:szCs w:val="18"/>
              </w:rPr>
              <w:t>简验证迁移系统的可靠性。</w:t>
            </w:r>
            <w:r>
              <w:rPr>
                <w:rFonts w:ascii="微软雅黑" w:eastAsia="微软雅黑" w:hAnsi="微软雅黑" w:hint="eastAsia"/>
                <w:sz w:val="18"/>
                <w:szCs w:val="18"/>
              </w:rPr>
              <w:t>。</w:t>
            </w:r>
          </w:p>
        </w:tc>
      </w:tr>
      <w:tr w:rsidR="000270BE">
        <w:trPr>
          <w:trHeight w:val="20"/>
          <w:jc w:val="center"/>
        </w:trPr>
        <w:tc>
          <w:tcPr>
            <w:tcW w:w="891" w:type="pct"/>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00000">
            <w:pPr>
              <w:jc w:val="center"/>
              <w:rPr>
                <w:rFonts w:ascii="微软雅黑" w:eastAsia="微软雅黑" w:hAnsi="微软雅黑" w:hint="eastAsia"/>
                <w:b/>
                <w:bCs/>
                <w:sz w:val="18"/>
                <w:szCs w:val="18"/>
              </w:rPr>
            </w:pPr>
            <w:r>
              <w:rPr>
                <w:rFonts w:ascii="微软雅黑" w:eastAsia="微软雅黑" w:hAnsi="微软雅黑" w:hint="eastAsia"/>
                <w:b/>
                <w:bCs/>
                <w:sz w:val="18"/>
                <w:szCs w:val="18"/>
              </w:rPr>
              <w:t>持续数据保护</w:t>
            </w: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持续数据保护CDP软件模块需采用无代理的方案，避免对虚拟机的稳定性和性能产生影响。</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内置持续数据保护CDP软件模块，能够动态的开启和关闭，比如能够提供对正在运行的虚拟机，在不需要重启或中断业务的情况下，就可以开启CDP。</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提供虚拟机故障隔离能力，支持内置CDP模块故障时，虚拟机仍然能够正常实现数据读写。</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支持快速浏览指定CDP备份内的文件，可快速的从CDP备份中找回数据文件，查看虚拟机文件目录的操作可做安全审计。</w:t>
            </w:r>
          </w:p>
        </w:tc>
      </w:tr>
      <w:tr w:rsidR="000270BE">
        <w:trPr>
          <w:trHeight w:val="20"/>
          <w:jc w:val="center"/>
        </w:trPr>
        <w:tc>
          <w:tcPr>
            <w:tcW w:w="891" w:type="pct"/>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00000">
            <w:pPr>
              <w:jc w:val="center"/>
              <w:rPr>
                <w:rFonts w:ascii="微软雅黑" w:eastAsia="微软雅黑" w:hAnsi="微软雅黑" w:hint="eastAsia"/>
                <w:b/>
                <w:bCs/>
                <w:sz w:val="18"/>
                <w:szCs w:val="18"/>
              </w:rPr>
            </w:pPr>
            <w:r>
              <w:rPr>
                <w:rFonts w:ascii="微软雅黑" w:eastAsia="微软雅黑" w:hAnsi="微软雅黑" w:hint="eastAsia"/>
                <w:b/>
                <w:bCs/>
                <w:sz w:val="18"/>
                <w:szCs w:val="18"/>
              </w:rPr>
              <w:t>显卡虚拟化模块</w:t>
            </w: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支持显卡直通和显卡虚拟化2种方案，兼容M10、M60、P40等专业显卡，支持深度学习和AI等软件的加速。 </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支持基于KVM开源虚拟化平台的显卡虚拟化切片技术，</w:t>
            </w:r>
            <w:proofErr w:type="gramStart"/>
            <w:r>
              <w:rPr>
                <w:rFonts w:ascii="微软雅黑" w:eastAsia="微软雅黑" w:hAnsi="微软雅黑" w:hint="eastAsia"/>
                <w:sz w:val="18"/>
                <w:szCs w:val="18"/>
              </w:rPr>
              <w:t>能将显卡</w:t>
            </w:r>
            <w:proofErr w:type="gramEnd"/>
            <w:r>
              <w:rPr>
                <w:rFonts w:ascii="微软雅黑" w:eastAsia="微软雅黑" w:hAnsi="微软雅黑" w:hint="eastAsia"/>
                <w:sz w:val="18"/>
                <w:szCs w:val="18"/>
              </w:rPr>
              <w:t>切片后直接绑定给某个虚拟机使用，虚拟机关机后自动释放显卡资源。</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支持修改虚拟机绑定的显卡切片类型，虚拟机重启后生效，例如：将P40-1Q更改为P40-2Q。</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支持虚拟机在2D和3D场景间切换，支持启用或者禁用显卡选项，在显</w:t>
            </w:r>
            <w:proofErr w:type="gramStart"/>
            <w:r>
              <w:rPr>
                <w:rFonts w:ascii="微软雅黑" w:eastAsia="微软雅黑" w:hAnsi="微软雅黑" w:hint="eastAsia"/>
                <w:sz w:val="18"/>
                <w:szCs w:val="18"/>
              </w:rPr>
              <w:t>卡资源</w:t>
            </w:r>
            <w:proofErr w:type="gramEnd"/>
            <w:r>
              <w:rPr>
                <w:rFonts w:ascii="微软雅黑" w:eastAsia="微软雅黑" w:hAnsi="微软雅黑" w:hint="eastAsia"/>
                <w:sz w:val="18"/>
                <w:szCs w:val="18"/>
              </w:rPr>
              <w:t>不足的情况下将3D虚拟机切换为2D虚拟机使用。</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支持显卡资源分配可视化，管理员可以实时查看主机、虚拟机和显</w:t>
            </w:r>
            <w:proofErr w:type="gramStart"/>
            <w:r>
              <w:rPr>
                <w:rFonts w:ascii="微软雅黑" w:eastAsia="微软雅黑" w:hAnsi="微软雅黑" w:hint="eastAsia"/>
                <w:sz w:val="18"/>
                <w:szCs w:val="18"/>
              </w:rPr>
              <w:t>卡核心分配</w:t>
            </w:r>
            <w:proofErr w:type="gramEnd"/>
            <w:r>
              <w:rPr>
                <w:rFonts w:ascii="微软雅黑" w:eastAsia="微软雅黑" w:hAnsi="微软雅黑" w:hint="eastAsia"/>
                <w:sz w:val="18"/>
                <w:szCs w:val="18"/>
              </w:rPr>
              <w:t>情况，以及对应的3D虚拟机名称。</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支持显卡资源池化调度，虚拟机关机后自动释放显</w:t>
            </w:r>
            <w:proofErr w:type="gramStart"/>
            <w:r>
              <w:rPr>
                <w:rFonts w:ascii="微软雅黑" w:eastAsia="微软雅黑" w:hAnsi="微软雅黑" w:hint="eastAsia"/>
                <w:sz w:val="18"/>
                <w:szCs w:val="18"/>
              </w:rPr>
              <w:t>卡资源</w:t>
            </w:r>
            <w:proofErr w:type="gramEnd"/>
            <w:r>
              <w:rPr>
                <w:rFonts w:ascii="微软雅黑" w:eastAsia="微软雅黑" w:hAnsi="微软雅黑" w:hint="eastAsia"/>
                <w:sz w:val="18"/>
                <w:szCs w:val="18"/>
              </w:rPr>
              <w:t>到资源池，3D虚拟机启动后自动从资源池获取显卡资源，支持在不同</w:t>
            </w:r>
            <w:proofErr w:type="gramStart"/>
            <w:r>
              <w:rPr>
                <w:rFonts w:ascii="微软雅黑" w:eastAsia="微软雅黑" w:hAnsi="微软雅黑" w:hint="eastAsia"/>
                <w:sz w:val="18"/>
                <w:szCs w:val="18"/>
              </w:rPr>
              <w:t>时段将显卡</w:t>
            </w:r>
            <w:proofErr w:type="gramEnd"/>
            <w:r>
              <w:rPr>
                <w:rFonts w:ascii="微软雅黑" w:eastAsia="微软雅黑" w:hAnsi="微软雅黑" w:hint="eastAsia"/>
                <w:sz w:val="18"/>
                <w:szCs w:val="18"/>
              </w:rPr>
              <w:t>切分为不同类型，供不同工作负载或场景使用。</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支持2D、3D服务器组建混合集群，支持3D虚拟机在具有相同显</w:t>
            </w:r>
            <w:proofErr w:type="gramStart"/>
            <w:r>
              <w:rPr>
                <w:rFonts w:ascii="微软雅黑" w:eastAsia="微软雅黑" w:hAnsi="微软雅黑" w:hint="eastAsia"/>
                <w:sz w:val="18"/>
                <w:szCs w:val="18"/>
              </w:rPr>
              <w:t>卡资源</w:t>
            </w:r>
            <w:proofErr w:type="gramEnd"/>
            <w:r>
              <w:rPr>
                <w:rFonts w:ascii="微软雅黑" w:eastAsia="微软雅黑" w:hAnsi="微软雅黑" w:hint="eastAsia"/>
                <w:sz w:val="18"/>
                <w:szCs w:val="18"/>
              </w:rPr>
              <w:t>的服务器间的HA。</w:t>
            </w:r>
          </w:p>
        </w:tc>
      </w:tr>
      <w:tr w:rsidR="000270BE">
        <w:trPr>
          <w:trHeight w:val="20"/>
          <w:jc w:val="center"/>
        </w:trPr>
        <w:tc>
          <w:tcPr>
            <w:tcW w:w="891" w:type="pct"/>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jc w:val="center"/>
              <w:rPr>
                <w:rFonts w:ascii="微软雅黑" w:eastAsia="微软雅黑" w:hAnsi="微软雅黑" w:hint="eastAsia"/>
                <w:b/>
                <w:bCs/>
                <w:sz w:val="18"/>
                <w:szCs w:val="18"/>
              </w:rPr>
            </w:pPr>
          </w:p>
          <w:p w:rsidR="000270BE" w:rsidRDefault="000270BE">
            <w:pPr>
              <w:jc w:val="center"/>
              <w:rPr>
                <w:rFonts w:ascii="微软雅黑" w:eastAsia="微软雅黑" w:hAnsi="微软雅黑" w:hint="eastAsia"/>
                <w:b/>
                <w:bCs/>
                <w:sz w:val="18"/>
                <w:szCs w:val="18"/>
              </w:rPr>
            </w:pPr>
          </w:p>
          <w:p w:rsidR="000270BE" w:rsidRDefault="000270BE">
            <w:pPr>
              <w:jc w:val="center"/>
              <w:rPr>
                <w:rFonts w:ascii="微软雅黑" w:eastAsia="微软雅黑" w:hAnsi="微软雅黑" w:hint="eastAsia"/>
                <w:b/>
                <w:bCs/>
                <w:sz w:val="18"/>
                <w:szCs w:val="18"/>
              </w:rPr>
            </w:pPr>
          </w:p>
          <w:p w:rsidR="000270BE" w:rsidRDefault="000270BE">
            <w:pPr>
              <w:jc w:val="center"/>
              <w:rPr>
                <w:rFonts w:ascii="微软雅黑" w:eastAsia="微软雅黑" w:hAnsi="微软雅黑" w:hint="eastAsia"/>
                <w:b/>
                <w:bCs/>
                <w:sz w:val="18"/>
                <w:szCs w:val="18"/>
              </w:rPr>
            </w:pPr>
          </w:p>
          <w:p w:rsidR="000270BE" w:rsidRDefault="000270BE">
            <w:pPr>
              <w:jc w:val="center"/>
              <w:rPr>
                <w:rFonts w:ascii="微软雅黑" w:eastAsia="微软雅黑" w:hAnsi="微软雅黑" w:hint="eastAsia"/>
                <w:b/>
                <w:bCs/>
                <w:sz w:val="18"/>
                <w:szCs w:val="18"/>
              </w:rPr>
            </w:pPr>
          </w:p>
          <w:p w:rsidR="000270BE" w:rsidRDefault="000270BE">
            <w:pPr>
              <w:jc w:val="center"/>
              <w:rPr>
                <w:rFonts w:ascii="微软雅黑" w:eastAsia="微软雅黑" w:hAnsi="微软雅黑" w:hint="eastAsia"/>
                <w:b/>
                <w:bCs/>
                <w:sz w:val="18"/>
                <w:szCs w:val="18"/>
              </w:rPr>
            </w:pPr>
          </w:p>
          <w:p w:rsidR="000270BE" w:rsidRDefault="000270BE">
            <w:pPr>
              <w:jc w:val="center"/>
              <w:rPr>
                <w:rFonts w:ascii="微软雅黑" w:eastAsia="微软雅黑" w:hAnsi="微软雅黑" w:hint="eastAsia"/>
                <w:b/>
                <w:bCs/>
                <w:sz w:val="18"/>
                <w:szCs w:val="18"/>
              </w:rPr>
            </w:pPr>
          </w:p>
          <w:p w:rsidR="000270BE" w:rsidRDefault="000270BE">
            <w:pPr>
              <w:jc w:val="center"/>
              <w:rPr>
                <w:rFonts w:ascii="微软雅黑" w:eastAsia="微软雅黑" w:hAnsi="微软雅黑" w:hint="eastAsia"/>
                <w:b/>
                <w:bCs/>
                <w:sz w:val="18"/>
                <w:szCs w:val="18"/>
              </w:rPr>
            </w:pPr>
          </w:p>
          <w:p w:rsidR="000270BE" w:rsidRDefault="000270BE">
            <w:pPr>
              <w:jc w:val="center"/>
              <w:rPr>
                <w:rFonts w:ascii="微软雅黑" w:eastAsia="微软雅黑" w:hAnsi="微软雅黑" w:hint="eastAsia"/>
                <w:b/>
                <w:bCs/>
                <w:sz w:val="18"/>
                <w:szCs w:val="18"/>
              </w:rPr>
            </w:pPr>
          </w:p>
          <w:p w:rsidR="000270BE" w:rsidRDefault="000270BE">
            <w:pPr>
              <w:jc w:val="center"/>
              <w:rPr>
                <w:rFonts w:ascii="微软雅黑" w:eastAsia="微软雅黑" w:hAnsi="微软雅黑" w:hint="eastAsia"/>
                <w:b/>
                <w:bCs/>
                <w:sz w:val="18"/>
                <w:szCs w:val="18"/>
              </w:rPr>
            </w:pPr>
          </w:p>
          <w:p w:rsidR="000270BE" w:rsidRDefault="000270BE">
            <w:pPr>
              <w:jc w:val="center"/>
              <w:rPr>
                <w:rFonts w:ascii="微软雅黑" w:eastAsia="微软雅黑" w:hAnsi="微软雅黑" w:hint="eastAsia"/>
                <w:b/>
                <w:bCs/>
                <w:sz w:val="18"/>
                <w:szCs w:val="18"/>
              </w:rPr>
            </w:pPr>
          </w:p>
          <w:p w:rsidR="000270BE" w:rsidRDefault="000270BE">
            <w:pPr>
              <w:jc w:val="center"/>
              <w:rPr>
                <w:rFonts w:ascii="微软雅黑" w:eastAsia="微软雅黑" w:hAnsi="微软雅黑" w:hint="eastAsia"/>
                <w:b/>
                <w:bCs/>
                <w:sz w:val="18"/>
                <w:szCs w:val="18"/>
              </w:rPr>
            </w:pPr>
          </w:p>
          <w:p w:rsidR="000270BE" w:rsidRDefault="000270BE">
            <w:pPr>
              <w:jc w:val="center"/>
              <w:rPr>
                <w:rFonts w:ascii="微软雅黑" w:eastAsia="微软雅黑" w:hAnsi="微软雅黑" w:hint="eastAsia"/>
                <w:b/>
                <w:bCs/>
                <w:sz w:val="18"/>
                <w:szCs w:val="18"/>
              </w:rPr>
            </w:pPr>
          </w:p>
          <w:p w:rsidR="000270BE" w:rsidRDefault="000270BE">
            <w:pPr>
              <w:jc w:val="center"/>
              <w:rPr>
                <w:rFonts w:ascii="微软雅黑" w:eastAsia="微软雅黑" w:hAnsi="微软雅黑" w:hint="eastAsia"/>
                <w:b/>
                <w:bCs/>
                <w:sz w:val="18"/>
                <w:szCs w:val="18"/>
              </w:rPr>
            </w:pPr>
          </w:p>
          <w:p w:rsidR="000270BE" w:rsidRDefault="000270BE">
            <w:pPr>
              <w:jc w:val="center"/>
              <w:rPr>
                <w:rFonts w:ascii="微软雅黑" w:eastAsia="微软雅黑" w:hAnsi="微软雅黑" w:hint="eastAsia"/>
                <w:b/>
                <w:bCs/>
                <w:sz w:val="18"/>
                <w:szCs w:val="18"/>
              </w:rPr>
            </w:pPr>
          </w:p>
          <w:p w:rsidR="000270BE" w:rsidRDefault="000270BE">
            <w:pPr>
              <w:jc w:val="center"/>
              <w:rPr>
                <w:rFonts w:ascii="微软雅黑" w:eastAsia="微软雅黑" w:hAnsi="微软雅黑" w:hint="eastAsia"/>
                <w:b/>
                <w:bCs/>
                <w:sz w:val="18"/>
                <w:szCs w:val="18"/>
              </w:rPr>
            </w:pPr>
          </w:p>
          <w:p w:rsidR="000270BE" w:rsidRDefault="000270BE">
            <w:pPr>
              <w:jc w:val="center"/>
              <w:rPr>
                <w:rFonts w:ascii="微软雅黑" w:eastAsia="微软雅黑" w:hAnsi="微软雅黑" w:hint="eastAsia"/>
                <w:b/>
                <w:bCs/>
                <w:sz w:val="18"/>
                <w:szCs w:val="18"/>
              </w:rPr>
            </w:pPr>
          </w:p>
          <w:p w:rsidR="000270BE" w:rsidRDefault="000270BE">
            <w:pPr>
              <w:jc w:val="center"/>
              <w:rPr>
                <w:rFonts w:ascii="微软雅黑" w:eastAsia="微软雅黑" w:hAnsi="微软雅黑" w:hint="eastAsia"/>
                <w:b/>
                <w:bCs/>
                <w:sz w:val="18"/>
                <w:szCs w:val="18"/>
              </w:rPr>
            </w:pPr>
          </w:p>
          <w:p w:rsidR="000270BE" w:rsidRDefault="000270BE">
            <w:pPr>
              <w:jc w:val="center"/>
              <w:rPr>
                <w:rFonts w:ascii="微软雅黑" w:eastAsia="微软雅黑" w:hAnsi="微软雅黑" w:hint="eastAsia"/>
                <w:b/>
                <w:bCs/>
                <w:sz w:val="18"/>
                <w:szCs w:val="18"/>
              </w:rPr>
            </w:pPr>
          </w:p>
          <w:p w:rsidR="000270BE" w:rsidRDefault="000270BE">
            <w:pPr>
              <w:jc w:val="center"/>
              <w:rPr>
                <w:rFonts w:ascii="微软雅黑" w:eastAsia="微软雅黑" w:hAnsi="微软雅黑" w:hint="eastAsia"/>
                <w:b/>
                <w:bCs/>
                <w:sz w:val="18"/>
                <w:szCs w:val="18"/>
              </w:rPr>
            </w:pPr>
          </w:p>
          <w:p w:rsidR="000270BE" w:rsidRDefault="000270BE">
            <w:pPr>
              <w:jc w:val="center"/>
              <w:rPr>
                <w:rFonts w:ascii="微软雅黑" w:eastAsia="微软雅黑" w:hAnsi="微软雅黑" w:hint="eastAsia"/>
                <w:b/>
                <w:bCs/>
                <w:sz w:val="18"/>
                <w:szCs w:val="18"/>
              </w:rPr>
            </w:pPr>
          </w:p>
          <w:p w:rsidR="000270BE" w:rsidRDefault="00000000">
            <w:pPr>
              <w:jc w:val="center"/>
              <w:rPr>
                <w:rFonts w:ascii="微软雅黑" w:eastAsia="微软雅黑" w:hAnsi="微软雅黑" w:hint="eastAsia"/>
                <w:b/>
                <w:bCs/>
                <w:sz w:val="18"/>
                <w:szCs w:val="18"/>
              </w:rPr>
            </w:pPr>
            <w:r>
              <w:rPr>
                <w:rFonts w:ascii="微软雅黑" w:eastAsia="微软雅黑" w:hAnsi="微软雅黑" w:hint="eastAsia"/>
                <w:b/>
                <w:bCs/>
                <w:sz w:val="18"/>
                <w:szCs w:val="18"/>
              </w:rPr>
              <w:lastRenderedPageBreak/>
              <w:t>存储虚拟化组件</w:t>
            </w: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lastRenderedPageBreak/>
              <w:t>采用分布式的软件定义存储架构，将所有服务器硬盘组织成一个虚拟存储资源池，提供分布式存储服务。通过新增物理服务器可以实现存储容量和性能的横向扩展（Scale-Out架构），扩容过程保证业务零中断。</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支持存储虚拟化功能，无需安装额外的软件，在一个统一的管理平台上使用License激活的方式即可开通使用，存储虚拟化与计算虚拟化为紧耦合架构，减少底层开销，提升性能。</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多种存储配置；磁盘预分配根据业务需求分配固定的物理存储空间、磁盘精简分配根据应用实际写需要时才分配相应的物理存储空间，磁盘动态分配机制根据业务动态需求分配存储资源，实现预分配的高性能和提高磁盘利用率。</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sz w:val="18"/>
                <w:szCs w:val="18"/>
              </w:rPr>
              <w:t>支持多种克隆方式，</w:t>
            </w:r>
            <w:r>
              <w:rPr>
                <w:rFonts w:ascii="微软雅黑" w:eastAsia="微软雅黑" w:hAnsi="微软雅黑" w:hint="eastAsia"/>
                <w:sz w:val="18"/>
                <w:szCs w:val="18"/>
              </w:rPr>
              <w:t>全量克隆虚拟机、链接克隆虚拟机、快速全量克隆虚拟机。</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支持多副本冗余功能，支持2个或以上副本，副本互斥地保存在集群的不同节点，当1个或多个主机或者磁盘故障，确保数据依旧正常访问。</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支持2副本和3副本融合策略(同一个虚拟机存储卷</w:t>
            </w:r>
            <w:proofErr w:type="gramStart"/>
            <w:r>
              <w:rPr>
                <w:rFonts w:ascii="微软雅黑" w:eastAsia="微软雅黑" w:hAnsi="微软雅黑" w:hint="eastAsia"/>
                <w:sz w:val="18"/>
                <w:szCs w:val="18"/>
              </w:rPr>
              <w:t>或池能</w:t>
            </w:r>
            <w:proofErr w:type="gramEnd"/>
            <w:r>
              <w:rPr>
                <w:rFonts w:ascii="微软雅黑" w:eastAsia="微软雅黑" w:hAnsi="微软雅黑" w:hint="eastAsia"/>
                <w:sz w:val="18"/>
                <w:szCs w:val="18"/>
              </w:rPr>
              <w:t>同时支持2副本或者3副本</w:t>
            </w:r>
            <w:r>
              <w:rPr>
                <w:rFonts w:ascii="微软雅黑" w:eastAsia="微软雅黑" w:hAnsi="微软雅黑"/>
                <w:sz w:val="18"/>
                <w:szCs w:val="18"/>
              </w:rPr>
              <w:t>)</w:t>
            </w:r>
            <w:r>
              <w:rPr>
                <w:rFonts w:ascii="微软雅黑" w:eastAsia="微软雅黑" w:hAnsi="微软雅黑" w:hint="eastAsia"/>
                <w:sz w:val="18"/>
                <w:szCs w:val="18"/>
              </w:rPr>
              <w:t>，能够依据业务的重要程度,</w:t>
            </w:r>
            <w:r>
              <w:rPr>
                <w:rFonts w:ascii="微软雅黑" w:eastAsia="微软雅黑" w:hAnsi="微软雅黑"/>
                <w:sz w:val="18"/>
                <w:szCs w:val="18"/>
              </w:rPr>
              <w:t xml:space="preserve"> </w:t>
            </w:r>
            <w:r>
              <w:rPr>
                <w:rFonts w:ascii="微软雅黑" w:eastAsia="微软雅黑" w:hAnsi="微软雅黑" w:hint="eastAsia"/>
                <w:sz w:val="18"/>
                <w:szCs w:val="18"/>
              </w:rPr>
              <w:t>选择不同的副本策略。</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sz w:val="18"/>
                <w:szCs w:val="18"/>
              </w:rPr>
              <w:t>支持为虚拟磁盘配置不同的存储策略以满足特定场景的需求, 如系统盘和数据盘选择高性能策略, 备份盘选择低性能策略</w:t>
            </w:r>
            <w:r>
              <w:rPr>
                <w:rFonts w:ascii="微软雅黑" w:eastAsia="微软雅黑" w:hAnsi="微软雅黑" w:hint="eastAsia"/>
                <w:sz w:val="18"/>
                <w:szCs w:val="18"/>
              </w:rPr>
              <w:t>。</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支持最低三主机即可配置三副本策略。</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支持标准的iSCSI协议，允许外部物理主机或应用通过标准的iSCSI接口访问虚拟存储，实现Server SAN和IP SAN的融合，能够使存储资源的利用率发挥到最大价值。在iSCSI接入场景下支持内部负载均衡和高可用。</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支持数据重建优先级调整，在故障数据重新恢复时，可由用户指定优先重建的虚拟机，保证重要的业务优先恢复数据的安全性。</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支持数据重建智能保护业务性能，可以对数据重建速度进行智能限速，避免数据重建过程中IO性能占用导致对业务的性能造成影响。</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在可视化的WEB管理平台上，可以查看虚拟分布式存储对应的容量大小、容量使用率、实时的IOPS读写次数、IOPS读写数据量等信息，方便为IT管理</w:t>
            </w:r>
            <w:proofErr w:type="gramStart"/>
            <w:r>
              <w:rPr>
                <w:rFonts w:ascii="微软雅黑" w:eastAsia="微软雅黑" w:hAnsi="微软雅黑" w:hint="eastAsia"/>
                <w:sz w:val="18"/>
                <w:szCs w:val="18"/>
              </w:rPr>
              <w:t>做为</w:t>
            </w:r>
            <w:proofErr w:type="gramEnd"/>
            <w:r>
              <w:rPr>
                <w:rFonts w:ascii="微软雅黑" w:eastAsia="微软雅黑" w:hAnsi="微软雅黑" w:hint="eastAsia"/>
                <w:sz w:val="18"/>
                <w:szCs w:val="18"/>
              </w:rPr>
              <w:t>有效的决策依据。</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支持数据写入优化机制，将高速SSD作为写缓存，数据先写到SSD，再回写到机械硬盘，提升写IO性能。</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支持数据分层，提供好的读写性能，并支持对重要虚拟机提供性能保护。</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w:t>
            </w:r>
            <w:proofErr w:type="gramStart"/>
            <w:r>
              <w:rPr>
                <w:rFonts w:ascii="微软雅黑" w:eastAsia="微软雅黑" w:hAnsi="微软雅黑" w:hint="eastAsia"/>
                <w:sz w:val="18"/>
                <w:szCs w:val="18"/>
              </w:rPr>
              <w:t>内存读</w:t>
            </w:r>
            <w:proofErr w:type="gramEnd"/>
            <w:r>
              <w:rPr>
                <w:rFonts w:ascii="微软雅黑" w:eastAsia="微软雅黑" w:hAnsi="微软雅黑" w:hint="eastAsia"/>
                <w:sz w:val="18"/>
                <w:szCs w:val="18"/>
              </w:rPr>
              <w:t>缓存功能，可以利用物理节点的内存作为读缓存，以提高读性能，实现内存、SSD、HDD三级存储分层。</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支持条带化功能，实现分布式raid0的性能提升效果，并支持以虚拟磁盘为单位设置条带数。</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虚拟存储可支持Oracle RAC，支持共享盘，及共享块设备，支持向导式安装，降低部署复杂度。</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存储分卷功能，以磁盘为单位划分为不同的存储卷，可将集群内固态硬盘组成一个高性能存储池，满足高性能应用需求，将固态硬盘和机械硬盘组成一个大容量存储池，满足低性能大容量应用需求。所有类型不同性能磁盘均可支持分区，包含SSD，SAS，SATA，NL-SAS等。</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sz w:val="18"/>
                <w:szCs w:val="18"/>
              </w:rPr>
              <w:t>支持对虚拟机业务按照小时</w:t>
            </w:r>
            <w:r>
              <w:rPr>
                <w:rFonts w:ascii="微软雅黑" w:eastAsia="微软雅黑" w:hAnsi="微软雅黑" w:hint="eastAsia"/>
                <w:sz w:val="18"/>
                <w:szCs w:val="18"/>
              </w:rPr>
              <w:t>、</w:t>
            </w:r>
            <w:r>
              <w:rPr>
                <w:rFonts w:ascii="微软雅黑" w:eastAsia="微软雅黑" w:hAnsi="微软雅黑"/>
                <w:sz w:val="18"/>
                <w:szCs w:val="18"/>
              </w:rPr>
              <w:t>天</w:t>
            </w:r>
            <w:r>
              <w:rPr>
                <w:rFonts w:ascii="微软雅黑" w:eastAsia="微软雅黑" w:hAnsi="微软雅黑" w:hint="eastAsia"/>
                <w:sz w:val="18"/>
                <w:szCs w:val="18"/>
              </w:rPr>
              <w:t>、</w:t>
            </w:r>
            <w:r>
              <w:rPr>
                <w:rFonts w:ascii="微软雅黑" w:eastAsia="微软雅黑" w:hAnsi="微软雅黑"/>
                <w:sz w:val="18"/>
                <w:szCs w:val="18"/>
              </w:rPr>
              <w:t>周</w:t>
            </w:r>
            <w:r>
              <w:rPr>
                <w:rFonts w:ascii="微软雅黑" w:eastAsia="微软雅黑" w:hAnsi="微软雅黑" w:hint="eastAsia"/>
                <w:sz w:val="18"/>
                <w:szCs w:val="18"/>
              </w:rPr>
              <w:t>级别来</w:t>
            </w:r>
            <w:r>
              <w:rPr>
                <w:rFonts w:ascii="微软雅黑" w:eastAsia="微软雅黑" w:hAnsi="微软雅黑"/>
                <w:sz w:val="18"/>
                <w:szCs w:val="18"/>
              </w:rPr>
              <w:t>自定义定时快照策略，</w:t>
            </w:r>
            <w:r>
              <w:rPr>
                <w:rFonts w:ascii="微软雅黑" w:eastAsia="微软雅黑" w:hAnsi="微软雅黑" w:hint="eastAsia"/>
                <w:sz w:val="18"/>
                <w:szCs w:val="18"/>
              </w:rPr>
              <w:t>发生故障后</w:t>
            </w:r>
            <w:r>
              <w:rPr>
                <w:rFonts w:ascii="微软雅黑" w:eastAsia="微软雅黑" w:hAnsi="微软雅黑"/>
                <w:sz w:val="18"/>
                <w:szCs w:val="18"/>
              </w:rPr>
              <w:t>可以</w:t>
            </w:r>
            <w:r>
              <w:rPr>
                <w:rFonts w:ascii="微软雅黑" w:eastAsia="微软雅黑" w:hAnsi="微软雅黑" w:hint="eastAsia"/>
                <w:sz w:val="18"/>
                <w:szCs w:val="18"/>
              </w:rPr>
              <w:t>通过恢复实现</w:t>
            </w:r>
            <w:proofErr w:type="gramStart"/>
            <w:r>
              <w:rPr>
                <w:rFonts w:ascii="微软雅黑" w:eastAsia="微软雅黑" w:hAnsi="微软雅黑"/>
                <w:sz w:val="18"/>
                <w:szCs w:val="18"/>
              </w:rPr>
              <w:t>快速回滚覆盖</w:t>
            </w:r>
            <w:proofErr w:type="gramEnd"/>
            <w:r>
              <w:rPr>
                <w:rFonts w:ascii="微软雅黑" w:eastAsia="微软雅黑" w:hAnsi="微软雅黑"/>
                <w:sz w:val="18"/>
                <w:szCs w:val="18"/>
              </w:rPr>
              <w:t>原虚拟机</w:t>
            </w:r>
            <w:r>
              <w:rPr>
                <w:rFonts w:ascii="微软雅黑" w:eastAsia="微软雅黑" w:hAnsi="微软雅黑" w:hint="eastAsia"/>
                <w:sz w:val="18"/>
                <w:szCs w:val="18"/>
              </w:rPr>
              <w:t>，</w:t>
            </w:r>
            <w:r>
              <w:rPr>
                <w:rFonts w:ascii="微软雅黑" w:eastAsia="微软雅黑" w:hAnsi="微软雅黑"/>
                <w:sz w:val="18"/>
                <w:szCs w:val="18"/>
              </w:rPr>
              <w:t>或者通过</w:t>
            </w:r>
            <w:r>
              <w:rPr>
                <w:rFonts w:ascii="微软雅黑" w:eastAsia="微软雅黑" w:hAnsi="微软雅黑" w:hint="eastAsia"/>
                <w:sz w:val="18"/>
                <w:szCs w:val="18"/>
              </w:rPr>
              <w:t>基于快照文件进行</w:t>
            </w:r>
            <w:r>
              <w:rPr>
                <w:rFonts w:ascii="微软雅黑" w:eastAsia="微软雅黑" w:hAnsi="微软雅黑"/>
                <w:sz w:val="18"/>
                <w:szCs w:val="18"/>
              </w:rPr>
              <w:t>克隆生成全新虚拟机，恢复</w:t>
            </w:r>
            <w:proofErr w:type="gramStart"/>
            <w:r>
              <w:rPr>
                <w:rFonts w:ascii="微软雅黑" w:eastAsia="微软雅黑" w:hAnsi="微软雅黑"/>
                <w:sz w:val="18"/>
                <w:szCs w:val="18"/>
              </w:rPr>
              <w:t>至业务</w:t>
            </w:r>
            <w:proofErr w:type="gramEnd"/>
            <w:r>
              <w:rPr>
                <w:rFonts w:ascii="微软雅黑" w:eastAsia="微软雅黑" w:hAnsi="微软雅黑"/>
                <w:sz w:val="18"/>
                <w:szCs w:val="18"/>
              </w:rPr>
              <w:t>健康状态。</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支持对集群业务和oracle</w:t>
            </w:r>
            <w:r>
              <w:rPr>
                <w:rFonts w:ascii="微软雅黑" w:eastAsia="微软雅黑" w:hAnsi="微软雅黑"/>
                <w:sz w:val="18"/>
                <w:szCs w:val="18"/>
              </w:rPr>
              <w:t xml:space="preserve"> </w:t>
            </w:r>
            <w:proofErr w:type="spellStart"/>
            <w:r>
              <w:rPr>
                <w:rFonts w:ascii="微软雅黑" w:eastAsia="微软雅黑" w:hAnsi="微软雅黑" w:hint="eastAsia"/>
                <w:sz w:val="18"/>
                <w:szCs w:val="18"/>
              </w:rPr>
              <w:t>rac</w:t>
            </w:r>
            <w:proofErr w:type="spellEnd"/>
            <w:r>
              <w:rPr>
                <w:rFonts w:ascii="微软雅黑" w:eastAsia="微软雅黑" w:hAnsi="微软雅黑" w:hint="eastAsia"/>
                <w:sz w:val="18"/>
                <w:szCs w:val="18"/>
              </w:rPr>
              <w:t>组建</w:t>
            </w:r>
            <w:r>
              <w:rPr>
                <w:rFonts w:ascii="微软雅黑" w:eastAsia="微软雅黑" w:hAnsi="微软雅黑"/>
                <w:sz w:val="18"/>
                <w:szCs w:val="18"/>
              </w:rPr>
              <w:t>一致性</w:t>
            </w:r>
            <w:r>
              <w:rPr>
                <w:rFonts w:ascii="微软雅黑" w:eastAsia="微软雅黑" w:hAnsi="微软雅黑" w:hint="eastAsia"/>
                <w:sz w:val="18"/>
                <w:szCs w:val="18"/>
              </w:rPr>
              <w:t>组</w:t>
            </w:r>
            <w:r>
              <w:rPr>
                <w:rFonts w:ascii="微软雅黑" w:eastAsia="微软雅黑" w:hAnsi="微软雅黑"/>
                <w:sz w:val="18"/>
                <w:szCs w:val="18"/>
              </w:rPr>
              <w:t>，</w:t>
            </w:r>
            <w:r>
              <w:rPr>
                <w:rFonts w:ascii="微软雅黑" w:eastAsia="微软雅黑" w:hAnsi="微软雅黑" w:hint="eastAsia"/>
                <w:sz w:val="18"/>
                <w:szCs w:val="18"/>
              </w:rPr>
              <w:t>并对一致性组进行同步快照，故</w:t>
            </w:r>
            <w:r>
              <w:rPr>
                <w:rFonts w:ascii="微软雅黑" w:eastAsia="微软雅黑" w:hAnsi="微软雅黑"/>
                <w:sz w:val="18"/>
                <w:szCs w:val="18"/>
              </w:rPr>
              <w:t>障时可通过</w:t>
            </w:r>
            <w:r>
              <w:rPr>
                <w:rFonts w:ascii="微软雅黑" w:eastAsia="微软雅黑" w:hAnsi="微软雅黑" w:hint="eastAsia"/>
                <w:sz w:val="18"/>
                <w:szCs w:val="18"/>
              </w:rPr>
              <w:t>一致性组快照</w:t>
            </w:r>
            <w:r>
              <w:rPr>
                <w:rFonts w:ascii="微软雅黑" w:eastAsia="微软雅黑" w:hAnsi="微软雅黑"/>
                <w:sz w:val="18"/>
                <w:szCs w:val="18"/>
              </w:rPr>
              <w:t>恢复</w:t>
            </w:r>
            <w:r>
              <w:rPr>
                <w:rFonts w:ascii="微软雅黑" w:eastAsia="微软雅黑" w:hAnsi="微软雅黑" w:hint="eastAsia"/>
                <w:sz w:val="18"/>
                <w:szCs w:val="18"/>
              </w:rPr>
              <w:t>业务。</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支持智能坏道预测级修复，准确识别出接下来会出现坏道的硬盘，实现故障前预测并处理，规避故障风险</w:t>
            </w:r>
            <w:r>
              <w:rPr>
                <w:rFonts w:ascii="微软雅黑" w:eastAsia="微软雅黑" w:hAnsi="微软雅黑"/>
                <w:sz w:val="18"/>
                <w:szCs w:val="18"/>
              </w:rPr>
              <w:t>。</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支持多种硬盘状态检测监控及告警，包括“健康”状态、“亚健康”状态、“故障”状态，不同状态的硬盘在UI上呈现不同的特征或告警，让用户能够区分处理。</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支持亚健康</w:t>
            </w:r>
            <w:proofErr w:type="gramStart"/>
            <w:r>
              <w:rPr>
                <w:rFonts w:ascii="微软雅黑" w:eastAsia="微软雅黑" w:hAnsi="微软雅黑" w:hint="eastAsia"/>
                <w:sz w:val="18"/>
                <w:szCs w:val="18"/>
              </w:rPr>
              <w:t>盘卡慢状态</w:t>
            </w:r>
            <w:proofErr w:type="gramEnd"/>
            <w:r>
              <w:rPr>
                <w:rFonts w:ascii="微软雅黑" w:eastAsia="微软雅黑" w:hAnsi="微软雅黑" w:hint="eastAsia"/>
                <w:sz w:val="18"/>
                <w:szCs w:val="18"/>
              </w:rPr>
              <w:t>自动处理，能够</w:t>
            </w:r>
            <w:proofErr w:type="gramStart"/>
            <w:r>
              <w:rPr>
                <w:rFonts w:ascii="微软雅黑" w:eastAsia="微软雅黑" w:hAnsi="微软雅黑" w:hint="eastAsia"/>
                <w:sz w:val="18"/>
                <w:szCs w:val="18"/>
              </w:rPr>
              <w:t>隔离卡慢盘实现</w:t>
            </w:r>
            <w:proofErr w:type="gramEnd"/>
            <w:r>
              <w:rPr>
                <w:rFonts w:ascii="微软雅黑" w:eastAsia="微软雅黑" w:hAnsi="微软雅黑" w:hint="eastAsia"/>
                <w:sz w:val="18"/>
                <w:szCs w:val="18"/>
              </w:rPr>
              <w:t>读写切源，</w:t>
            </w:r>
            <w:proofErr w:type="gramStart"/>
            <w:r>
              <w:rPr>
                <w:rFonts w:ascii="微软雅黑" w:eastAsia="微软雅黑" w:hAnsi="微软雅黑" w:hint="eastAsia"/>
                <w:sz w:val="18"/>
                <w:szCs w:val="18"/>
              </w:rPr>
              <w:t>避免卡慢盘</w:t>
            </w:r>
            <w:proofErr w:type="gramEnd"/>
            <w:r>
              <w:rPr>
                <w:rFonts w:ascii="微软雅黑" w:eastAsia="微软雅黑" w:hAnsi="微软雅黑" w:hint="eastAsia"/>
                <w:sz w:val="18"/>
                <w:szCs w:val="18"/>
              </w:rPr>
              <w:t>影响集群的性能。</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支持磁盘亚健康监测，包括PCIE SSD寿命告警、硬盘卡/慢的检测和告警、IO错误告警、RAID</w:t>
            </w:r>
            <w:proofErr w:type="gramStart"/>
            <w:r>
              <w:rPr>
                <w:rFonts w:ascii="微软雅黑" w:eastAsia="微软雅黑" w:hAnsi="微软雅黑" w:hint="eastAsia"/>
                <w:sz w:val="18"/>
                <w:szCs w:val="18"/>
              </w:rPr>
              <w:t>卡错误</w:t>
            </w:r>
            <w:proofErr w:type="gramEnd"/>
            <w:r>
              <w:rPr>
                <w:rFonts w:ascii="微软雅黑" w:eastAsia="微软雅黑" w:hAnsi="微软雅黑" w:hint="eastAsia"/>
                <w:sz w:val="18"/>
                <w:szCs w:val="18"/>
              </w:rPr>
              <w:t>告警等，支持邮件和短信告警。</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当硬盘处于亚健康状态时，支持手动隔离硬盘，并将硬盘上的数据迁移至健康的硬盘上，安全替换亚健康硬盘。 </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支持一键还原已删除的虚拟机，可恢复30天内已删除的虚拟机。</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支持IO读写SSD Cache功能，提升存储性能，支持写Cache的节点故障保障，当节点故障或</w:t>
            </w:r>
            <w:proofErr w:type="gramStart"/>
            <w:r>
              <w:rPr>
                <w:rFonts w:ascii="微软雅黑" w:eastAsia="微软雅黑" w:hAnsi="微软雅黑" w:hint="eastAsia"/>
                <w:sz w:val="18"/>
                <w:szCs w:val="18"/>
              </w:rPr>
              <w:t>宕</w:t>
            </w:r>
            <w:proofErr w:type="gramEnd"/>
            <w:r>
              <w:rPr>
                <w:rFonts w:ascii="微软雅黑" w:eastAsia="微软雅黑" w:hAnsi="微软雅黑" w:hint="eastAsia"/>
                <w:sz w:val="18"/>
                <w:szCs w:val="18"/>
              </w:rPr>
              <w:t>机时，写Cache内的数据不丢失。</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支持虚拟机磁盘</w:t>
            </w:r>
            <w:r>
              <w:rPr>
                <w:rFonts w:ascii="微软雅黑" w:eastAsia="微软雅黑" w:hAnsi="微软雅黑"/>
                <w:sz w:val="18"/>
                <w:szCs w:val="18"/>
              </w:rPr>
              <w:t>IO的QoS</w:t>
            </w:r>
            <w:r>
              <w:rPr>
                <w:rFonts w:ascii="微软雅黑" w:eastAsia="微软雅黑" w:hAnsi="微软雅黑" w:hint="eastAsia"/>
                <w:sz w:val="18"/>
                <w:szCs w:val="18"/>
              </w:rPr>
              <w:t>，可设置磁盘</w:t>
            </w:r>
            <w:r>
              <w:rPr>
                <w:rFonts w:ascii="微软雅黑" w:eastAsia="微软雅黑" w:hAnsi="微软雅黑"/>
                <w:sz w:val="18"/>
                <w:szCs w:val="18"/>
              </w:rPr>
              <w:t>IO限制</w:t>
            </w:r>
            <w:r>
              <w:rPr>
                <w:rFonts w:ascii="微软雅黑" w:eastAsia="微软雅黑" w:hAnsi="微软雅黑" w:hint="eastAsia"/>
                <w:sz w:val="18"/>
                <w:szCs w:val="18"/>
              </w:rPr>
              <w:t>，为集群省出</w:t>
            </w:r>
            <w:r>
              <w:rPr>
                <w:rFonts w:ascii="微软雅黑" w:eastAsia="微软雅黑" w:hAnsi="微软雅黑"/>
                <w:sz w:val="18"/>
                <w:szCs w:val="18"/>
              </w:rPr>
              <w:t>IO资源</w:t>
            </w:r>
            <w:r>
              <w:rPr>
                <w:rFonts w:ascii="微软雅黑" w:eastAsia="微软雅黑" w:hAnsi="微软雅黑" w:hint="eastAsia"/>
                <w:sz w:val="18"/>
                <w:szCs w:val="18"/>
              </w:rPr>
              <w:t>。</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支持存储业务网的自动负载均衡功能，自动分流存储业务流量，减轻单点压力</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分布式存储能够提供超高性能，能够提供百万级IOPS和12GB/s以上的带宽能力。</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sz w:val="18"/>
                <w:szCs w:val="18"/>
              </w:rPr>
              <w:t>在3台服务器（E5-2680 v4 CPU，128GB，2块Intel S4600 SSD+6块HDD）硬件配置下，提供至少45万的IOPS。</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sz w:val="18"/>
                <w:szCs w:val="18"/>
              </w:rPr>
              <w:t>在3台服务器（E5-2680 v4 CPU，128GB，2块Intel S4600 SSD+6块HDD）硬件配置下</w:t>
            </w:r>
            <w:r>
              <w:rPr>
                <w:rFonts w:ascii="微软雅黑" w:eastAsia="微软雅黑" w:hAnsi="微软雅黑" w:hint="eastAsia"/>
                <w:sz w:val="18"/>
                <w:szCs w:val="18"/>
              </w:rPr>
              <w:t>，</w:t>
            </w:r>
            <w:r>
              <w:rPr>
                <w:rFonts w:ascii="微软雅黑" w:eastAsia="微软雅黑" w:hAnsi="微软雅黑"/>
                <w:sz w:val="18"/>
                <w:szCs w:val="18"/>
              </w:rPr>
              <w:t>TPM至少100万。</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支持单节点的一块或多块缓存盘（SSD）拔出后，集群内所有的虚拟机正常运行未出现中断，其中一台虚拟机硬盘拔出前后磁盘读写（IO）</w:t>
            </w:r>
            <w:proofErr w:type="gramStart"/>
            <w:r>
              <w:rPr>
                <w:rFonts w:ascii="微软雅黑" w:eastAsia="微软雅黑" w:hAnsi="微软雅黑" w:hint="eastAsia"/>
                <w:sz w:val="18"/>
                <w:szCs w:val="18"/>
              </w:rPr>
              <w:t>性能少幅下降</w:t>
            </w:r>
            <w:proofErr w:type="gramEnd"/>
            <w:r>
              <w:rPr>
                <w:rFonts w:ascii="微软雅黑" w:eastAsia="微软雅黑" w:hAnsi="微软雅黑" w:hint="eastAsia"/>
                <w:sz w:val="18"/>
                <w:szCs w:val="18"/>
              </w:rPr>
              <w:t>，或几乎没有下降。</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支持数据自动重建机制，当主机或者磁盘故障后，自动利用集群内空闲磁盘空间，将故障数据重新恢复，且重建速度最快可达30min/TB以上，快速恢复副本的完整性和冗余度，确保用户数据的可靠性和安全性。</w:t>
            </w:r>
          </w:p>
        </w:tc>
      </w:tr>
      <w:tr w:rsidR="000270BE">
        <w:trPr>
          <w:trHeight w:val="20"/>
          <w:jc w:val="center"/>
        </w:trPr>
        <w:tc>
          <w:tcPr>
            <w:tcW w:w="891" w:type="pct"/>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00000">
            <w:pPr>
              <w:jc w:val="center"/>
              <w:rPr>
                <w:rFonts w:ascii="微软雅黑" w:eastAsia="微软雅黑" w:hAnsi="微软雅黑" w:hint="eastAsia"/>
                <w:b/>
                <w:bCs/>
                <w:sz w:val="18"/>
                <w:szCs w:val="18"/>
              </w:rPr>
            </w:pPr>
            <w:r>
              <w:rPr>
                <w:rFonts w:ascii="微软雅黑" w:eastAsia="微软雅黑" w:hAnsi="微软雅黑" w:hint="eastAsia"/>
                <w:b/>
                <w:bCs/>
                <w:sz w:val="18"/>
                <w:szCs w:val="18"/>
              </w:rPr>
              <w:t>网络虚拟化组件</w:t>
            </w: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虚拟路由器支持HA功能，当虚拟路由器运行的主机出现故障时，可以实现故障自动恢复，保障业务的高可靠性</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通过License激活的方式，实现网络虚拟化功能（分布式虚拟交换机、虚拟路由器、虚拟应用防火墙、虚拟应用负载均衡），支持</w:t>
            </w:r>
            <w:proofErr w:type="spellStart"/>
            <w:r>
              <w:rPr>
                <w:rFonts w:ascii="微软雅黑" w:eastAsia="微软雅黑" w:hAnsi="微软雅黑" w:hint="eastAsia"/>
                <w:sz w:val="18"/>
                <w:szCs w:val="18"/>
              </w:rPr>
              <w:t>Vxlan</w:t>
            </w:r>
            <w:proofErr w:type="spellEnd"/>
            <w:r>
              <w:rPr>
                <w:rFonts w:ascii="微软雅黑" w:eastAsia="微软雅黑" w:hAnsi="微软雅黑" w:hint="eastAsia"/>
                <w:sz w:val="18"/>
                <w:szCs w:val="18"/>
              </w:rPr>
              <w:t>网络和现有的</w:t>
            </w:r>
            <w:proofErr w:type="spellStart"/>
            <w:r>
              <w:rPr>
                <w:rFonts w:ascii="微软雅黑" w:eastAsia="微软雅黑" w:hAnsi="微软雅黑" w:hint="eastAsia"/>
                <w:sz w:val="18"/>
                <w:szCs w:val="18"/>
              </w:rPr>
              <w:t>Vlan</w:t>
            </w:r>
            <w:proofErr w:type="spellEnd"/>
            <w:r>
              <w:rPr>
                <w:rFonts w:ascii="微软雅黑" w:eastAsia="微软雅黑" w:hAnsi="微软雅黑" w:hint="eastAsia"/>
                <w:sz w:val="18"/>
                <w:szCs w:val="18"/>
              </w:rPr>
              <w:t>网络对接，实现虚拟化平台与原有网络的兼容性。</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支持对oracle、</w:t>
            </w:r>
            <w:proofErr w:type="spellStart"/>
            <w:r>
              <w:rPr>
                <w:rFonts w:ascii="微软雅黑" w:eastAsia="微软雅黑" w:hAnsi="微软雅黑" w:hint="eastAsia"/>
                <w:sz w:val="18"/>
                <w:szCs w:val="18"/>
              </w:rPr>
              <w:t>sqlserver</w:t>
            </w:r>
            <w:proofErr w:type="spellEnd"/>
            <w:r>
              <w:rPr>
                <w:rFonts w:ascii="微软雅黑" w:eastAsia="微软雅黑" w:hAnsi="微软雅黑" w:hint="eastAsia"/>
                <w:sz w:val="18"/>
                <w:szCs w:val="18"/>
              </w:rPr>
              <w:t>、</w:t>
            </w:r>
            <w:proofErr w:type="spellStart"/>
            <w:r>
              <w:rPr>
                <w:rFonts w:ascii="微软雅黑" w:eastAsia="微软雅黑" w:hAnsi="微软雅黑" w:hint="eastAsia"/>
                <w:sz w:val="18"/>
                <w:szCs w:val="18"/>
              </w:rPr>
              <w:t>Weblogic</w:t>
            </w:r>
            <w:proofErr w:type="spellEnd"/>
            <w:r>
              <w:rPr>
                <w:rFonts w:ascii="微软雅黑" w:eastAsia="微软雅黑" w:hAnsi="微软雅黑" w:hint="eastAsia"/>
                <w:sz w:val="18"/>
                <w:szCs w:val="18"/>
              </w:rPr>
              <w:t>数据库及中间件监控，实现对数据库的语句的故障定位排错，执行时延分析。</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支持管理平台上可以通过拖拽虚拟设备图标和连线就能完成网络拓扑的构建，快速的实现整个业务逻辑，并且可以连接、开启、关闭虚拟网络设备，支持对整个平台虚拟设备实现统一的管理，提升运</w:t>
            </w:r>
            <w:proofErr w:type="gramStart"/>
            <w:r>
              <w:rPr>
                <w:rFonts w:ascii="微软雅黑" w:eastAsia="微软雅黑" w:hAnsi="微软雅黑" w:hint="eastAsia"/>
                <w:sz w:val="18"/>
                <w:szCs w:val="18"/>
              </w:rPr>
              <w:t>维管理</w:t>
            </w:r>
            <w:proofErr w:type="gramEnd"/>
            <w:r>
              <w:rPr>
                <w:rFonts w:ascii="微软雅黑" w:eastAsia="微软雅黑" w:hAnsi="微软雅黑" w:hint="eastAsia"/>
                <w:sz w:val="18"/>
                <w:szCs w:val="18"/>
              </w:rPr>
              <w:t>的工作效率。</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主动探测业务系统，实时监控业务可用性，监控策略包括HTTP、FTP、POP3、SMTP、自定义端口协议等，当业务出现故障时，通过多种方式（短信、邮箱）告知管理员进行排障。</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提供虚拟机报表功能，可以导出TOPN的虚拟机进行1年以内的性能分析与趋势分析报表，可以自定义报表模板。</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支持链路聚合，为网络中的每个虚拟机提供内置的网络故障切换和负载均衡能力，实现更高的硬件可用性和容错能力。</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支持手动指定路由器运行在固定的物理主机上，可以自动将路由器规划到高性能和</w:t>
            </w:r>
            <w:proofErr w:type="gramStart"/>
            <w:r>
              <w:rPr>
                <w:rFonts w:ascii="微软雅黑" w:eastAsia="微软雅黑" w:hAnsi="微软雅黑" w:hint="eastAsia"/>
                <w:sz w:val="18"/>
                <w:szCs w:val="18"/>
              </w:rPr>
              <w:t>高网络</w:t>
            </w:r>
            <w:proofErr w:type="gramEnd"/>
            <w:r>
              <w:rPr>
                <w:rFonts w:ascii="微软雅黑" w:eastAsia="微软雅黑" w:hAnsi="微软雅黑" w:hint="eastAsia"/>
                <w:sz w:val="18"/>
                <w:szCs w:val="18"/>
              </w:rPr>
              <w:t>吞吐的物理主机上。</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sz w:val="18"/>
                <w:szCs w:val="18"/>
              </w:rPr>
              <w:t>为满足用户使用ipv6地址的需求，支持为虚拟机配置ipv6地址，并可通过ipv6地址访问该业务。</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支持创建分布式虚拟防火墙，基于虚拟机构建安全防火墙，当虚拟机在不同的物理节点之间迁移时，安全策略随之移动。</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分布式防火墙基于</w:t>
            </w:r>
            <w:proofErr w:type="gramStart"/>
            <w:r>
              <w:rPr>
                <w:rFonts w:ascii="微软雅黑" w:eastAsia="微软雅黑" w:hAnsi="微软雅黑" w:hint="eastAsia"/>
                <w:sz w:val="18"/>
                <w:szCs w:val="18"/>
              </w:rPr>
              <w:t>监测虚机</w:t>
            </w:r>
            <w:proofErr w:type="gramEnd"/>
            <w:r>
              <w:rPr>
                <w:rFonts w:ascii="微软雅黑" w:eastAsia="微软雅黑" w:hAnsi="微软雅黑" w:hint="eastAsia"/>
                <w:sz w:val="18"/>
                <w:szCs w:val="18"/>
              </w:rPr>
              <w:t>IP地址和端口进行东西向流量隔离控制，并提供实时拦截日志，以及支持“数据直通</w:t>
            </w:r>
            <w:proofErr w:type="spellStart"/>
            <w:r>
              <w:rPr>
                <w:rFonts w:ascii="微软雅黑" w:eastAsia="微软雅黑" w:hAnsi="微软雅黑" w:hint="eastAsia"/>
                <w:sz w:val="18"/>
                <w:szCs w:val="18"/>
              </w:rPr>
              <w:t>ByPass</w:t>
            </w:r>
            <w:proofErr w:type="spellEnd"/>
            <w:r>
              <w:rPr>
                <w:rFonts w:ascii="微软雅黑" w:eastAsia="微软雅黑" w:hAnsi="微软雅黑" w:hint="eastAsia"/>
                <w:sz w:val="18"/>
                <w:szCs w:val="18"/>
              </w:rPr>
              <w:t>”功能，方便出现问题快速定位问题。</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提供虚拟路由器、虚拟交换机等设备的连通性探测功能，方便在虚拟化环境中，进行相应的故障排除和恢复，能够定位到出现故障的虚拟网络设备，方便快速排查问</w:t>
            </w:r>
            <w:proofErr w:type="gramStart"/>
            <w:r>
              <w:rPr>
                <w:rFonts w:ascii="微软雅黑" w:eastAsia="微软雅黑" w:hAnsi="微软雅黑" w:hint="eastAsia"/>
                <w:sz w:val="18"/>
                <w:szCs w:val="18"/>
              </w:rPr>
              <w:t>题保障</w:t>
            </w:r>
            <w:proofErr w:type="gramEnd"/>
            <w:r>
              <w:rPr>
                <w:rFonts w:ascii="微软雅黑" w:eastAsia="微软雅黑" w:hAnsi="微软雅黑" w:hint="eastAsia"/>
                <w:sz w:val="18"/>
                <w:szCs w:val="18"/>
              </w:rPr>
              <w:t>业务的高连续性。</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w:t>
            </w:r>
            <w:r>
              <w:rPr>
                <w:rFonts w:ascii="微软雅黑" w:eastAsia="微软雅黑" w:hAnsi="微软雅黑"/>
                <w:sz w:val="18"/>
                <w:szCs w:val="18"/>
              </w:rPr>
              <w:t>VXLAN三层网络</w:t>
            </w:r>
            <w:r>
              <w:rPr>
                <w:rFonts w:ascii="微软雅黑" w:eastAsia="微软雅黑" w:hAnsi="微软雅黑" w:hint="eastAsia"/>
                <w:sz w:val="18"/>
                <w:szCs w:val="18"/>
              </w:rPr>
              <w:t>，可配置多个不同网段的</w:t>
            </w:r>
            <w:r>
              <w:rPr>
                <w:rFonts w:ascii="微软雅黑" w:eastAsia="微软雅黑" w:hAnsi="微软雅黑"/>
                <w:sz w:val="18"/>
                <w:szCs w:val="18"/>
              </w:rPr>
              <w:t>VXLAN IP池。</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b/>
                <w:bCs/>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支持ACL功能，通过ACL来控制虚拟机之间的网络访问能力，进而保障部署在虚拟机上的业务资源的安全性。支持根据报文的源和目的IP地址信息、源和目的IP地址及源和目的端口制定匹配规则。</w:t>
            </w:r>
          </w:p>
        </w:tc>
      </w:tr>
      <w:tr w:rsidR="000270BE">
        <w:trPr>
          <w:trHeight w:val="20"/>
          <w:jc w:val="center"/>
        </w:trPr>
        <w:tc>
          <w:tcPr>
            <w:tcW w:w="891" w:type="pct"/>
            <w:vMerge w:val="restart"/>
            <w:tcBorders>
              <w:top w:val="nil"/>
              <w:left w:val="single" w:sz="4" w:space="0" w:color="auto"/>
              <w:right w:val="single" w:sz="4" w:space="0" w:color="auto"/>
            </w:tcBorders>
            <w:shd w:val="clear" w:color="auto" w:fill="F2F2F2" w:themeFill="background1" w:themeFillShade="F2"/>
            <w:vAlign w:val="center"/>
          </w:tcPr>
          <w:p w:rsidR="000270BE" w:rsidRDefault="00000000">
            <w:pPr>
              <w:jc w:val="center"/>
              <w:rPr>
                <w:rFonts w:ascii="微软雅黑" w:eastAsia="微软雅黑" w:hAnsi="微软雅黑" w:hint="eastAsia"/>
                <w:sz w:val="18"/>
                <w:szCs w:val="18"/>
              </w:rPr>
            </w:pPr>
            <w:r>
              <w:rPr>
                <w:rFonts w:ascii="微软雅黑" w:eastAsia="微软雅黑" w:hAnsi="微软雅黑" w:hint="eastAsia"/>
                <w:b/>
                <w:bCs/>
                <w:sz w:val="18"/>
                <w:szCs w:val="18"/>
              </w:rPr>
              <w:t>容灾模块</w:t>
            </w: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容</w:t>
            </w:r>
            <w:proofErr w:type="gramStart"/>
            <w:r>
              <w:rPr>
                <w:rFonts w:ascii="微软雅黑" w:eastAsia="微软雅黑" w:hAnsi="微软雅黑" w:hint="eastAsia"/>
                <w:sz w:val="18"/>
                <w:szCs w:val="18"/>
              </w:rPr>
              <w:t>灾软件</w:t>
            </w:r>
            <w:proofErr w:type="gramEnd"/>
            <w:r>
              <w:rPr>
                <w:rFonts w:ascii="微软雅黑" w:eastAsia="微软雅黑" w:hAnsi="微软雅黑" w:hint="eastAsia"/>
                <w:sz w:val="18"/>
                <w:szCs w:val="18"/>
              </w:rPr>
              <w:t>模块需采用无代理的方案，以简化部署和运维，并避免虚拟机安装代理软件后对稳定性和性能产生影响。</w:t>
            </w:r>
          </w:p>
        </w:tc>
      </w:tr>
      <w:tr w:rsidR="000270BE">
        <w:trPr>
          <w:trHeight w:val="20"/>
          <w:jc w:val="center"/>
        </w:trPr>
        <w:tc>
          <w:tcPr>
            <w:tcW w:w="891" w:type="pct"/>
            <w:vMerge/>
            <w:tcBorders>
              <w:left w:val="single" w:sz="4" w:space="0" w:color="auto"/>
              <w:right w:val="single" w:sz="4" w:space="0" w:color="auto"/>
            </w:tcBorders>
            <w:shd w:val="clear" w:color="auto" w:fill="F2F2F2" w:themeFill="background1" w:themeFillShade="F2"/>
            <w:vAlign w:val="center"/>
          </w:tcPr>
          <w:p w:rsidR="000270BE" w:rsidRDefault="000270BE">
            <w:pPr>
              <w:jc w:val="center"/>
              <w:rPr>
                <w:rFonts w:ascii="微软雅黑" w:eastAsia="微软雅黑" w:hAnsi="微软雅黑" w:hint="eastAsia"/>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支持提供RPO可配置的</w:t>
            </w:r>
            <w:proofErr w:type="gramStart"/>
            <w:r>
              <w:rPr>
                <w:rFonts w:ascii="微软雅黑" w:eastAsia="微软雅黑" w:hAnsi="微软雅黑" w:hint="eastAsia"/>
                <w:sz w:val="18"/>
                <w:szCs w:val="18"/>
              </w:rPr>
              <w:t>虚拟机级容灾</w:t>
            </w:r>
            <w:proofErr w:type="gramEnd"/>
            <w:r>
              <w:rPr>
                <w:rFonts w:ascii="微软雅黑" w:eastAsia="微软雅黑" w:hAnsi="微软雅黑" w:hint="eastAsia"/>
                <w:sz w:val="18"/>
                <w:szCs w:val="18"/>
              </w:rPr>
              <w:t>，RPO值范围从1秒到</w:t>
            </w:r>
            <w:r>
              <w:rPr>
                <w:rFonts w:ascii="微软雅黑" w:eastAsia="微软雅黑" w:hAnsi="微软雅黑"/>
                <w:sz w:val="18"/>
                <w:szCs w:val="18"/>
              </w:rPr>
              <w:t>2</w:t>
            </w:r>
            <w:r>
              <w:rPr>
                <w:rFonts w:ascii="微软雅黑" w:eastAsia="微软雅黑" w:hAnsi="微软雅黑" w:hint="eastAsia"/>
                <w:sz w:val="18"/>
                <w:szCs w:val="18"/>
              </w:rPr>
              <w:t>周。</w:t>
            </w:r>
          </w:p>
        </w:tc>
      </w:tr>
      <w:tr w:rsidR="000270BE">
        <w:trPr>
          <w:trHeight w:val="20"/>
          <w:jc w:val="center"/>
        </w:trPr>
        <w:tc>
          <w:tcPr>
            <w:tcW w:w="891" w:type="pct"/>
            <w:vMerge/>
            <w:tcBorders>
              <w:left w:val="single" w:sz="4" w:space="0" w:color="auto"/>
              <w:right w:val="single" w:sz="4" w:space="0" w:color="auto"/>
            </w:tcBorders>
            <w:shd w:val="clear" w:color="auto" w:fill="F2F2F2" w:themeFill="background1" w:themeFillShade="F2"/>
            <w:vAlign w:val="center"/>
          </w:tcPr>
          <w:p w:rsidR="000270BE" w:rsidRDefault="000270BE">
            <w:pPr>
              <w:jc w:val="center"/>
              <w:rPr>
                <w:rFonts w:ascii="微软雅黑" w:eastAsia="微软雅黑" w:hAnsi="微软雅黑" w:hint="eastAsia"/>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为提高数据传输效率、减少对带宽的消耗，</w:t>
            </w:r>
            <w:proofErr w:type="gramStart"/>
            <w:r>
              <w:rPr>
                <w:rFonts w:ascii="微软雅黑" w:eastAsia="微软雅黑" w:hAnsi="微软雅黑" w:hint="eastAsia"/>
                <w:sz w:val="18"/>
                <w:szCs w:val="18"/>
              </w:rPr>
              <w:t>灾备软件</w:t>
            </w:r>
            <w:proofErr w:type="gramEnd"/>
            <w:r>
              <w:rPr>
                <w:rFonts w:ascii="微软雅黑" w:eastAsia="微软雅黑" w:hAnsi="微软雅黑" w:hint="eastAsia"/>
                <w:sz w:val="18"/>
                <w:szCs w:val="18"/>
              </w:rPr>
              <w:t>支持压缩传输功能，对同步到备站点的数据先压缩再进行传输。</w:t>
            </w:r>
          </w:p>
        </w:tc>
      </w:tr>
      <w:tr w:rsidR="000270BE">
        <w:trPr>
          <w:trHeight w:val="20"/>
          <w:jc w:val="center"/>
        </w:trPr>
        <w:tc>
          <w:tcPr>
            <w:tcW w:w="891" w:type="pct"/>
            <w:vMerge/>
            <w:tcBorders>
              <w:left w:val="single" w:sz="4" w:space="0" w:color="auto"/>
              <w:right w:val="single" w:sz="4" w:space="0" w:color="auto"/>
            </w:tcBorders>
            <w:shd w:val="clear" w:color="auto" w:fill="F2F2F2" w:themeFill="background1" w:themeFillShade="F2"/>
            <w:vAlign w:val="center"/>
          </w:tcPr>
          <w:p w:rsidR="000270BE" w:rsidRDefault="000270BE">
            <w:pPr>
              <w:jc w:val="center"/>
              <w:rPr>
                <w:rFonts w:ascii="微软雅黑" w:eastAsia="微软雅黑" w:hAnsi="微软雅黑" w:hint="eastAsia"/>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容</w:t>
            </w:r>
            <w:proofErr w:type="gramStart"/>
            <w:r>
              <w:rPr>
                <w:rFonts w:ascii="微软雅黑" w:eastAsia="微软雅黑" w:hAnsi="微软雅黑" w:hint="eastAsia"/>
                <w:sz w:val="18"/>
                <w:szCs w:val="18"/>
              </w:rPr>
              <w:t>灾软件</w:t>
            </w:r>
            <w:proofErr w:type="gramEnd"/>
            <w:r>
              <w:rPr>
                <w:rFonts w:ascii="微软雅黑" w:eastAsia="微软雅黑" w:hAnsi="微软雅黑" w:hint="eastAsia"/>
                <w:sz w:val="18"/>
                <w:szCs w:val="18"/>
              </w:rPr>
              <w:t>具备仿真容灾演练能力，在不影响业务的前提下，验证容灾系统的可靠性。</w:t>
            </w:r>
          </w:p>
        </w:tc>
      </w:tr>
      <w:tr w:rsidR="000270BE">
        <w:trPr>
          <w:trHeight w:val="20"/>
          <w:jc w:val="center"/>
        </w:trPr>
        <w:tc>
          <w:tcPr>
            <w:tcW w:w="891" w:type="pct"/>
            <w:vMerge/>
            <w:tcBorders>
              <w:left w:val="single" w:sz="4" w:space="0" w:color="auto"/>
              <w:right w:val="single" w:sz="4" w:space="0" w:color="auto"/>
            </w:tcBorders>
            <w:shd w:val="clear" w:color="auto" w:fill="F2F2F2" w:themeFill="background1" w:themeFillShade="F2"/>
            <w:vAlign w:val="center"/>
          </w:tcPr>
          <w:p w:rsidR="000270BE" w:rsidRDefault="000270BE">
            <w:pPr>
              <w:jc w:val="center"/>
              <w:rPr>
                <w:rFonts w:ascii="微软雅黑" w:eastAsia="微软雅黑" w:hAnsi="微软雅黑" w:hint="eastAsia"/>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当主站点恢复正常后，容</w:t>
            </w:r>
            <w:proofErr w:type="gramStart"/>
            <w:r>
              <w:rPr>
                <w:rFonts w:ascii="微软雅黑" w:eastAsia="微软雅黑" w:hAnsi="微软雅黑" w:hint="eastAsia"/>
                <w:sz w:val="18"/>
                <w:szCs w:val="18"/>
              </w:rPr>
              <w:t>灾软件</w:t>
            </w:r>
            <w:proofErr w:type="gramEnd"/>
            <w:r>
              <w:rPr>
                <w:rFonts w:ascii="微软雅黑" w:eastAsia="微软雅黑" w:hAnsi="微软雅黑" w:hint="eastAsia"/>
                <w:sz w:val="18"/>
                <w:szCs w:val="18"/>
              </w:rPr>
              <w:t>支持一键回迁功能，并可根据业务需求回迁全量数据或增量数据。</w:t>
            </w:r>
          </w:p>
        </w:tc>
      </w:tr>
      <w:tr w:rsidR="000270BE">
        <w:trPr>
          <w:trHeight w:val="20"/>
          <w:jc w:val="center"/>
        </w:trPr>
        <w:tc>
          <w:tcPr>
            <w:tcW w:w="891" w:type="pct"/>
            <w:vMerge/>
            <w:tcBorders>
              <w:left w:val="single" w:sz="4" w:space="0" w:color="auto"/>
              <w:right w:val="single" w:sz="4" w:space="0" w:color="auto"/>
            </w:tcBorders>
            <w:shd w:val="clear" w:color="auto" w:fill="F2F2F2" w:themeFill="background1" w:themeFillShade="F2"/>
            <w:vAlign w:val="center"/>
          </w:tcPr>
          <w:p w:rsidR="000270BE" w:rsidRDefault="000270BE">
            <w:pPr>
              <w:jc w:val="center"/>
              <w:rPr>
                <w:rFonts w:ascii="微软雅黑" w:eastAsia="微软雅黑" w:hAnsi="微软雅黑" w:hint="eastAsia"/>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支持种子文件功能，用户可以在主站点使用种子文件功能将需要容灾的云主机备份制作成种子文件存放到外置存储（U盘，移动硬盘）中，使用物理方式将存储介质运输</w:t>
            </w:r>
            <w:proofErr w:type="gramStart"/>
            <w:r>
              <w:rPr>
                <w:rFonts w:ascii="微软雅黑" w:eastAsia="微软雅黑" w:hAnsi="微软雅黑" w:hint="eastAsia"/>
                <w:sz w:val="18"/>
                <w:szCs w:val="18"/>
              </w:rPr>
              <w:t>到灾备数据</w:t>
            </w:r>
            <w:proofErr w:type="gramEnd"/>
            <w:r>
              <w:rPr>
                <w:rFonts w:ascii="微软雅黑" w:eastAsia="微软雅黑" w:hAnsi="微软雅黑" w:hint="eastAsia"/>
                <w:sz w:val="18"/>
                <w:szCs w:val="18"/>
              </w:rPr>
              <w:t>中心，然后导入主站点云主机的种子文件，以此来提高容</w:t>
            </w:r>
            <w:proofErr w:type="gramStart"/>
            <w:r>
              <w:rPr>
                <w:rFonts w:ascii="微软雅黑" w:eastAsia="微软雅黑" w:hAnsi="微软雅黑" w:hint="eastAsia"/>
                <w:sz w:val="18"/>
                <w:szCs w:val="18"/>
              </w:rPr>
              <w:t>灾首次</w:t>
            </w:r>
            <w:proofErr w:type="gramEnd"/>
            <w:r>
              <w:rPr>
                <w:rFonts w:ascii="微软雅黑" w:eastAsia="微软雅黑" w:hAnsi="微软雅黑" w:hint="eastAsia"/>
                <w:sz w:val="18"/>
                <w:szCs w:val="18"/>
              </w:rPr>
              <w:t>数据同步的速度，降低对带宽的要求。 </w:t>
            </w:r>
          </w:p>
        </w:tc>
      </w:tr>
      <w:tr w:rsidR="000270BE">
        <w:trPr>
          <w:trHeight w:val="20"/>
          <w:jc w:val="center"/>
        </w:trPr>
        <w:tc>
          <w:tcPr>
            <w:tcW w:w="891" w:type="pct"/>
            <w:vMerge/>
            <w:tcBorders>
              <w:left w:val="single" w:sz="4" w:space="0" w:color="auto"/>
              <w:right w:val="single" w:sz="4" w:space="0" w:color="auto"/>
            </w:tcBorders>
            <w:shd w:val="clear" w:color="auto" w:fill="F2F2F2" w:themeFill="background1" w:themeFillShade="F2"/>
            <w:vAlign w:val="center"/>
          </w:tcPr>
          <w:p w:rsidR="000270BE" w:rsidRDefault="000270BE">
            <w:pPr>
              <w:jc w:val="center"/>
              <w:rPr>
                <w:rFonts w:ascii="微软雅黑" w:eastAsia="微软雅黑" w:hAnsi="微软雅黑" w:hint="eastAsia"/>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提供容灾大屏实时监测容灾进展，容灾链路的可靠性大屏可视化。</w:t>
            </w:r>
          </w:p>
        </w:tc>
      </w:tr>
      <w:tr w:rsidR="000270BE">
        <w:trPr>
          <w:trHeight w:val="20"/>
          <w:jc w:val="center"/>
        </w:trPr>
        <w:tc>
          <w:tcPr>
            <w:tcW w:w="891" w:type="pct"/>
            <w:vMerge/>
            <w:tcBorders>
              <w:left w:val="single" w:sz="4" w:space="0" w:color="auto"/>
              <w:right w:val="single" w:sz="4" w:space="0" w:color="auto"/>
            </w:tcBorders>
            <w:shd w:val="clear" w:color="auto" w:fill="F2F2F2" w:themeFill="background1" w:themeFillShade="F2"/>
            <w:vAlign w:val="center"/>
          </w:tcPr>
          <w:p w:rsidR="000270BE" w:rsidRDefault="000270BE">
            <w:pPr>
              <w:jc w:val="center"/>
              <w:rPr>
                <w:rFonts w:ascii="微软雅黑" w:eastAsia="微软雅黑" w:hAnsi="微软雅黑" w:hint="eastAsia"/>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支持链路告警功能,</w:t>
            </w:r>
            <w:r>
              <w:rPr>
                <w:rFonts w:ascii="微软雅黑" w:eastAsia="微软雅黑" w:hAnsi="微软雅黑"/>
                <w:sz w:val="18"/>
                <w:szCs w:val="18"/>
              </w:rPr>
              <w:t xml:space="preserve"> </w:t>
            </w:r>
            <w:r>
              <w:rPr>
                <w:rFonts w:ascii="微软雅黑" w:eastAsia="微软雅黑" w:hAnsi="微软雅黑" w:hint="eastAsia"/>
                <w:sz w:val="18"/>
                <w:szCs w:val="18"/>
              </w:rPr>
              <w:t>开启功能后能够持续检测容灾链路的连通状态,</w:t>
            </w:r>
            <w:r>
              <w:rPr>
                <w:rFonts w:ascii="微软雅黑" w:eastAsia="微软雅黑" w:hAnsi="微软雅黑"/>
                <w:sz w:val="18"/>
                <w:szCs w:val="18"/>
              </w:rPr>
              <w:t xml:space="preserve"> </w:t>
            </w:r>
            <w:r>
              <w:rPr>
                <w:rFonts w:ascii="微软雅黑" w:eastAsia="微软雅黑" w:hAnsi="微软雅黑" w:hint="eastAsia"/>
                <w:sz w:val="18"/>
                <w:szCs w:val="18"/>
              </w:rPr>
              <w:t>支持用户自定义链路中断时间和重连次数,</w:t>
            </w:r>
            <w:r>
              <w:rPr>
                <w:rFonts w:ascii="微软雅黑" w:eastAsia="微软雅黑" w:hAnsi="微软雅黑"/>
                <w:sz w:val="18"/>
                <w:szCs w:val="18"/>
              </w:rPr>
              <w:t xml:space="preserve"> </w:t>
            </w:r>
            <w:r>
              <w:rPr>
                <w:rFonts w:ascii="微软雅黑" w:eastAsia="微软雅黑" w:hAnsi="微软雅黑" w:hint="eastAsia"/>
                <w:sz w:val="18"/>
                <w:szCs w:val="18"/>
              </w:rPr>
              <w:t>当超过设定阈值时,</w:t>
            </w:r>
            <w:r>
              <w:rPr>
                <w:rFonts w:ascii="微软雅黑" w:eastAsia="微软雅黑" w:hAnsi="微软雅黑"/>
                <w:sz w:val="18"/>
                <w:szCs w:val="18"/>
              </w:rPr>
              <w:t xml:space="preserve"> </w:t>
            </w:r>
            <w:r>
              <w:rPr>
                <w:rFonts w:ascii="微软雅黑" w:eastAsia="微软雅黑" w:hAnsi="微软雅黑" w:hint="eastAsia"/>
                <w:sz w:val="18"/>
                <w:szCs w:val="18"/>
              </w:rPr>
              <w:t>能够对链路状态进行告警。</w:t>
            </w:r>
          </w:p>
        </w:tc>
      </w:tr>
      <w:tr w:rsidR="000270BE">
        <w:trPr>
          <w:trHeight w:val="20"/>
          <w:jc w:val="center"/>
        </w:trPr>
        <w:tc>
          <w:tcPr>
            <w:tcW w:w="891"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jc w:val="center"/>
              <w:rPr>
                <w:rFonts w:ascii="微软雅黑" w:eastAsia="微软雅黑" w:hAnsi="微软雅黑" w:hint="eastAsia"/>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在任务气球界面，支持取消容灾备份的传输任务。</w:t>
            </w:r>
          </w:p>
        </w:tc>
      </w:tr>
      <w:tr w:rsidR="000270BE">
        <w:trPr>
          <w:trHeight w:val="20"/>
          <w:jc w:val="center"/>
        </w:trPr>
        <w:tc>
          <w:tcPr>
            <w:tcW w:w="891" w:type="pct"/>
            <w:vMerge w:val="restart"/>
            <w:tcBorders>
              <w:top w:val="nil"/>
              <w:left w:val="single" w:sz="4" w:space="0" w:color="auto"/>
              <w:right w:val="single" w:sz="4" w:space="0" w:color="auto"/>
            </w:tcBorders>
            <w:shd w:val="clear" w:color="auto" w:fill="F2F2F2" w:themeFill="background1" w:themeFillShade="F2"/>
            <w:vAlign w:val="center"/>
          </w:tcPr>
          <w:p w:rsidR="000270BE" w:rsidRDefault="00000000">
            <w:pPr>
              <w:jc w:val="center"/>
              <w:rPr>
                <w:rFonts w:ascii="微软雅黑" w:eastAsia="微软雅黑" w:hAnsi="微软雅黑" w:hint="eastAsia"/>
                <w:b/>
                <w:bCs/>
                <w:sz w:val="18"/>
                <w:szCs w:val="18"/>
              </w:rPr>
            </w:pPr>
            <w:r>
              <w:rPr>
                <w:rFonts w:ascii="微软雅黑" w:eastAsia="微软雅黑" w:hAnsi="微软雅黑" w:hint="eastAsia"/>
                <w:b/>
                <w:bCs/>
                <w:sz w:val="18"/>
                <w:szCs w:val="18"/>
              </w:rPr>
              <w:t>存储双活</w:t>
            </w: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sz w:val="18"/>
                <w:szCs w:val="18"/>
              </w:rPr>
              <w:t>支持通过延伸集群的方式实现</w:t>
            </w:r>
            <w:proofErr w:type="gramStart"/>
            <w:r>
              <w:rPr>
                <w:rFonts w:ascii="微软雅黑" w:eastAsia="微软雅黑" w:hAnsi="微软雅黑"/>
                <w:sz w:val="18"/>
                <w:szCs w:val="18"/>
              </w:rPr>
              <w:t>跨数据</w:t>
            </w:r>
            <w:proofErr w:type="gramEnd"/>
            <w:r>
              <w:rPr>
                <w:rFonts w:ascii="微软雅黑" w:eastAsia="微软雅黑" w:hAnsi="微软雅黑"/>
                <w:sz w:val="18"/>
                <w:szCs w:val="18"/>
              </w:rPr>
              <w:t>中心的</w:t>
            </w:r>
            <w:proofErr w:type="gramStart"/>
            <w:r>
              <w:rPr>
                <w:rFonts w:ascii="微软雅黑" w:eastAsia="微软雅黑" w:hAnsi="微软雅黑"/>
                <w:sz w:val="18"/>
                <w:szCs w:val="18"/>
              </w:rPr>
              <w:t>数据双</w:t>
            </w:r>
            <w:proofErr w:type="gramEnd"/>
            <w:r>
              <w:rPr>
                <w:rFonts w:ascii="微软雅黑" w:eastAsia="微软雅黑" w:hAnsi="微软雅黑"/>
                <w:sz w:val="18"/>
                <w:szCs w:val="18"/>
              </w:rPr>
              <w:t>活，每个数据中心均保存完整的数据副本，数据同时写入到两个数据中心，任何一个数据中心故障，数据零丢失，业务分钟级别恢复，实现RPO=0，RTO分钟级。</w:t>
            </w:r>
          </w:p>
        </w:tc>
      </w:tr>
      <w:tr w:rsidR="000270BE">
        <w:trPr>
          <w:trHeight w:val="20"/>
          <w:jc w:val="center"/>
        </w:trPr>
        <w:tc>
          <w:tcPr>
            <w:tcW w:w="891"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jc w:val="center"/>
              <w:rPr>
                <w:rFonts w:ascii="微软雅黑" w:eastAsia="微软雅黑" w:hAnsi="微软雅黑" w:hint="eastAsia"/>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sz w:val="18"/>
                <w:szCs w:val="18"/>
              </w:rPr>
              <w:t>支持对Oracle RAC实现</w:t>
            </w:r>
            <w:proofErr w:type="gramStart"/>
            <w:r>
              <w:rPr>
                <w:rFonts w:ascii="微软雅黑" w:eastAsia="微软雅黑" w:hAnsi="微软雅黑"/>
                <w:sz w:val="18"/>
                <w:szCs w:val="18"/>
              </w:rPr>
              <w:t>跨数据</w:t>
            </w:r>
            <w:proofErr w:type="gramEnd"/>
            <w:r>
              <w:rPr>
                <w:rFonts w:ascii="微软雅黑" w:eastAsia="微软雅黑" w:hAnsi="微软雅黑"/>
                <w:sz w:val="18"/>
                <w:szCs w:val="18"/>
              </w:rPr>
              <w:t>中心的业务双活，RAC节点在数据中心互斥运行，其中一个数据中心故障后，数据零丢失，业务零中断或短暂中断，实现RPO=0，RTO接近于0。</w:t>
            </w:r>
          </w:p>
        </w:tc>
      </w:tr>
      <w:tr w:rsidR="000270BE">
        <w:trPr>
          <w:trHeight w:val="20"/>
          <w:jc w:val="center"/>
        </w:trPr>
        <w:tc>
          <w:tcPr>
            <w:tcW w:w="891" w:type="pct"/>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00000">
            <w:pPr>
              <w:jc w:val="center"/>
              <w:rPr>
                <w:rFonts w:ascii="微软雅黑" w:eastAsia="微软雅黑" w:hAnsi="微软雅黑" w:hint="eastAsia"/>
                <w:b/>
                <w:bCs/>
                <w:sz w:val="18"/>
                <w:szCs w:val="18"/>
              </w:rPr>
            </w:pPr>
            <w:r>
              <w:rPr>
                <w:rFonts w:ascii="微软雅黑" w:eastAsia="微软雅黑" w:hAnsi="微软雅黑" w:hint="eastAsia"/>
                <w:b/>
                <w:bCs/>
                <w:sz w:val="18"/>
                <w:szCs w:val="18"/>
              </w:rPr>
              <w:t>安全虚拟化组件</w:t>
            </w: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提供同品牌紧耦合的虚拟应用防火墙，对重要业务进行7层应用防护</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支持DDoS攻击防护、Web应用安全防护、入侵防护功能、支持URL过滤和文件过滤功能、僵尸主机检测、病毒防护、网页篡改防护等功能，保障业务的高安全性。</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具备独立的Web应用防护规则库，Web应用防护规则总数在3000条以上</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具备独立的僵尸主机识别特征库，恶意软件识别特征总数在50万条以上</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支持对常见应用服务（HTTP、FTP、SSH、SMTP、IMAP）和数据库软件（MySQL、Oracle、MSSQL）的口令暴力破解防护功能，全面保障业务的安全</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支持对被防护网站是否</w:t>
            </w:r>
            <w:proofErr w:type="gramStart"/>
            <w:r>
              <w:rPr>
                <w:rFonts w:ascii="微软雅黑" w:eastAsia="微软雅黑" w:hAnsi="微软雅黑" w:hint="eastAsia"/>
                <w:sz w:val="18"/>
                <w:szCs w:val="18"/>
              </w:rPr>
              <w:t>被挂黑链进行</w:t>
            </w:r>
            <w:proofErr w:type="gramEnd"/>
            <w:r>
              <w:rPr>
                <w:rFonts w:ascii="微软雅黑" w:eastAsia="微软雅黑" w:hAnsi="微软雅黑" w:hint="eastAsia"/>
                <w:sz w:val="18"/>
                <w:szCs w:val="18"/>
              </w:rPr>
              <w:t>检测；</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具备对常见网络协议（SSH、FTP、RDP、VNC、</w:t>
            </w:r>
            <w:proofErr w:type="spellStart"/>
            <w:r>
              <w:rPr>
                <w:rFonts w:ascii="微软雅黑" w:eastAsia="微软雅黑" w:hAnsi="微软雅黑" w:hint="eastAsia"/>
                <w:sz w:val="18"/>
                <w:szCs w:val="18"/>
              </w:rPr>
              <w:t>Netbios</w:t>
            </w:r>
            <w:proofErr w:type="spellEnd"/>
            <w:r>
              <w:rPr>
                <w:rFonts w:ascii="微软雅黑" w:eastAsia="微软雅黑" w:hAnsi="微软雅黑" w:hint="eastAsia"/>
                <w:sz w:val="18"/>
                <w:szCs w:val="18"/>
              </w:rPr>
              <w:t>）和数据库（MySQL、Oracle、MSSQL）的弱密码扫描功能，全面保障业务的安全</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可提供最新的威胁情报信息，能够对新爆发的流行高危漏洞进行预警和自动检测，发现问题后支持一键生成防护规则，能够及时的进行安全防护，全面保障业务的安全</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支持B/S服务漏洞扫描功能，可扫描WEB网站是否存在SQL注入、XSS、</w:t>
            </w:r>
            <w:proofErr w:type="gramStart"/>
            <w:r>
              <w:rPr>
                <w:rFonts w:ascii="微软雅黑" w:eastAsia="微软雅黑" w:hAnsi="微软雅黑" w:hint="eastAsia"/>
                <w:sz w:val="18"/>
                <w:szCs w:val="18"/>
              </w:rPr>
              <w:t>跨站脚本</w:t>
            </w:r>
            <w:proofErr w:type="gramEnd"/>
            <w:r>
              <w:rPr>
                <w:rFonts w:ascii="微软雅黑" w:eastAsia="微软雅黑" w:hAnsi="微软雅黑" w:hint="eastAsia"/>
                <w:sz w:val="18"/>
                <w:szCs w:val="18"/>
              </w:rPr>
              <w:t>、目录遍历、文件包含、命令执行等脚本漏洞，全面保障业务的安全</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提供安全报表，报表内容体现被保护对象的整体安全等级，发现漏洞情况以及遭受到攻击的漏洞统计，可以查看到有效攻击行为次数和攻击趋势</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支持平台部署同品牌的虚拟化负载均衡软件（深信服应用交付软件6.5）</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支持轮询、加权轮询、加权最小连接、动态反馈、最快响应、最小流量、带宽比例、哈希、主备、首个可用、UDP强行负载等负载均衡算法。</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支持常见的服务器主动式健康检查功能，提供基于SNMP、ICMP、TCP/UDP、FTP、HTTP、DNS、RADIUS，ORACLE/MSSQL/MYSQL数据库等多种类型的探测判断机制</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支持TCP连接复用功能，利用HTTP连接池机制，将来自客户端的多个请求合并成一个连接发送到服务器，减少服务器端的工作负荷，并提升业务效率</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支持HTTP缓存功能，利用内存Cache缓存用户频繁访问的web内容，降低后台服务器的负载压力,提升用户访问的响应速度。</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服务器被动式健康检查，可根据对业务流量的观测采样，辅助判断应用服务器健康状况；对常规HTTP应用可配置基于反映URL失效的HTTP响应状态码的观测判断机制，对于复杂应用可配置基于RST关闭连接和零窗口等异常TCP传输行为的观测判断机制，保障业务的高连续性</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支持对Oracle数据库、</w:t>
            </w:r>
            <w:proofErr w:type="spellStart"/>
            <w:r>
              <w:rPr>
                <w:rFonts w:ascii="微软雅黑" w:eastAsia="微软雅黑" w:hAnsi="微软雅黑" w:hint="eastAsia"/>
                <w:sz w:val="18"/>
                <w:szCs w:val="18"/>
              </w:rPr>
              <w:t>Weblogic</w:t>
            </w:r>
            <w:proofErr w:type="spellEnd"/>
            <w:r>
              <w:rPr>
                <w:rFonts w:ascii="微软雅黑" w:eastAsia="微软雅黑" w:hAnsi="微软雅黑" w:hint="eastAsia"/>
                <w:sz w:val="18"/>
                <w:szCs w:val="18"/>
              </w:rPr>
              <w:t>中间件的关键性能指标监控，并通过报表的形式多维度实时展现关键性能参数，提供历史健康状态分析。界面友好直观，无需在服务器上安装任何插件，能够更清晰的掌握业务分析数据。</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支持面向服务器健康度的弹性调控机制，可通过监控业务流中的TCP传输异常来衡量服务器节点的有效性，尝试对性能不足的服务器临时开启过载保护，动态调节服务器的负载，保障业务的高连续性。</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proofErr w:type="gramStart"/>
            <w:r>
              <w:rPr>
                <w:rFonts w:ascii="微软雅黑" w:eastAsia="微软雅黑" w:hAnsi="微软雅黑" w:hint="eastAsia"/>
                <w:sz w:val="18"/>
                <w:szCs w:val="18"/>
              </w:rPr>
              <w:t>云安全</w:t>
            </w:r>
            <w:proofErr w:type="gramEnd"/>
            <w:r>
              <w:rPr>
                <w:rFonts w:ascii="微软雅黑" w:eastAsia="微软雅黑" w:hAnsi="微软雅黑" w:hint="eastAsia"/>
                <w:sz w:val="18"/>
                <w:szCs w:val="18"/>
              </w:rPr>
              <w:t>中心需集成于虚拟化平台中，一体化方式交付，无需第三方平台承载，平台必须能够提供虚拟主机安全防护安全能力</w:t>
            </w:r>
            <w:r>
              <w:rPr>
                <w:rFonts w:ascii="微软雅黑" w:eastAsia="微软雅黑" w:hAnsi="微软雅黑"/>
                <w:sz w:val="18"/>
                <w:szCs w:val="18"/>
              </w:rPr>
              <w:t>,并对检测到的恶意活动可自动采取分布式防火墙隔离虚拟机、为虚拟机拍摄快照等防护手段</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可以创建疑似勒索快照任务，检测到资产防护组件异常、疑似中勒索病毒时，自动触发快照</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提供向导化勒索病毒处理流程，包括紧急隔离、保留当前状态、恢复云主机、扫描病毒、恢复网络。并支持事前勒索病毒防护、事中检测疑似勒索可打自动对虚拟机打快照、事后勒索病毒向导化处理</w:t>
            </w:r>
          </w:p>
        </w:tc>
      </w:tr>
      <w:tr w:rsidR="000270BE">
        <w:trPr>
          <w:trHeight w:val="20"/>
          <w:jc w:val="center"/>
        </w:trPr>
        <w:tc>
          <w:tcPr>
            <w:tcW w:w="891" w:type="pct"/>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0270BE" w:rsidRDefault="000270BE">
            <w:pPr>
              <w:rPr>
                <w:rFonts w:ascii="微软雅黑" w:eastAsia="微软雅黑" w:hAnsi="微软雅黑" w:hint="eastAsia"/>
                <w:sz w:val="18"/>
                <w:szCs w:val="18"/>
              </w:rPr>
            </w:pPr>
          </w:p>
        </w:tc>
        <w:tc>
          <w:tcPr>
            <w:tcW w:w="4109" w:type="pct"/>
            <w:tcBorders>
              <w:top w:val="nil"/>
              <w:left w:val="nil"/>
              <w:bottom w:val="single" w:sz="4" w:space="0" w:color="auto"/>
              <w:right w:val="single" w:sz="4" w:space="0" w:color="auto"/>
            </w:tcBorders>
            <w:vAlign w:val="center"/>
          </w:tcPr>
          <w:p w:rsidR="000270BE" w:rsidRDefault="00000000">
            <w:pPr>
              <w:rPr>
                <w:rFonts w:ascii="微软雅黑" w:eastAsia="微软雅黑" w:hAnsi="微软雅黑" w:hint="eastAsia"/>
                <w:sz w:val="18"/>
                <w:szCs w:val="18"/>
              </w:rPr>
            </w:pPr>
            <w:r>
              <w:rPr>
                <w:rFonts w:ascii="微软雅黑" w:eastAsia="微软雅黑" w:hAnsi="微软雅黑" w:hint="eastAsia"/>
                <w:sz w:val="18"/>
                <w:szCs w:val="18"/>
              </w:rPr>
              <w:t>支持对虚拟机漏洞情况进行扫描，支持查看漏洞详情并修复</w:t>
            </w:r>
          </w:p>
        </w:tc>
      </w:tr>
    </w:tbl>
    <w:p w:rsidR="000270BE" w:rsidRDefault="009E1C74">
      <w:pPr>
        <w:tabs>
          <w:tab w:val="left" w:pos="5929"/>
        </w:tabs>
        <w:rPr>
          <w:rFonts w:cs="Hannotate SC Regular" w:hint="eastAsia"/>
          <w:sz w:val="21"/>
          <w:szCs w:val="21"/>
        </w:rPr>
      </w:pPr>
      <w:bookmarkStart w:id="0" w:name="_PictureBullets"/>
      <w:r>
        <w:rPr>
          <w:vanis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D14691_" style="width:14.25pt;height:14.25pt">
            <v:imagedata r:id="rId20" o:title="BD14691_"/>
          </v:shape>
        </w:pict>
      </w:r>
      <w:r>
        <w:rPr>
          <w:vanish/>
        </w:rPr>
        <w:pict>
          <v:shape id="_x0000_i1026" type="#_x0000_t75" alt="BD14515_" style="width:12pt;height:12pt">
            <v:imagedata r:id="rId21" o:title="BD14515_"/>
          </v:shape>
        </w:pict>
      </w:r>
      <w:bookmarkEnd w:id="0"/>
    </w:p>
    <w:sectPr w:rsidR="000270BE">
      <w:headerReference w:type="default" r:id="rId22"/>
      <w:footerReference w:type="default" r:id="rId23"/>
      <w:footerReference w:type="first" r:id="rId24"/>
      <w:pgSz w:w="11900" w:h="16840"/>
      <w:pgMar w:top="1440" w:right="1080" w:bottom="1440" w:left="1080" w:header="851" w:footer="992"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F7E61" w:rsidRDefault="003F7E61">
      <w:pPr>
        <w:rPr>
          <w:rFonts w:hint="eastAsia"/>
        </w:rPr>
      </w:pPr>
      <w:r>
        <w:separator/>
      </w:r>
    </w:p>
  </w:endnote>
  <w:endnote w:type="continuationSeparator" w:id="0">
    <w:p w:rsidR="003F7E61" w:rsidRDefault="003F7E6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eiti SC Light">
    <w:altName w:val="Yu Gothic"/>
    <w:charset w:val="80"/>
    <w:family w:val="auto"/>
    <w:pitch w:val="default"/>
    <w:sig w:usb0="00000000" w:usb1="00000000" w:usb2="00000000" w:usb3="00000000" w:csb0="203E0000"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annotate SC Regular">
    <w:altName w:val="微软雅黑"/>
    <w:charset w:val="50"/>
    <w:family w:val="auto"/>
    <w:pitch w:val="default"/>
    <w:sig w:usb0="00000000" w:usb1="0000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270BE" w:rsidRDefault="00000000">
    <w:pPr>
      <w:pStyle w:val="a7"/>
      <w:jc w:val="center"/>
      <w:rPr>
        <w:rFonts w:hint="eastAsia"/>
      </w:rPr>
    </w:pPr>
    <w:r>
      <w:rPr>
        <w:rFonts w:ascii="微软雅黑" w:eastAsia="微软雅黑" w:hAnsi="微软雅黑"/>
        <w:noProof/>
      </w:rPr>
      <w:drawing>
        <wp:inline distT="0" distB="0" distL="0" distR="0">
          <wp:extent cx="6176645" cy="421640"/>
          <wp:effectExtent l="0" t="0" r="0"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397138" cy="436841"/>
                  </a:xfrm>
                  <a:prstGeom prst="rect">
                    <a:avLst/>
                  </a:prstGeom>
                </pic:spPr>
              </pic:pic>
            </a:graphicData>
          </a:graphic>
        </wp:inline>
      </w:drawing>
    </w:r>
    <w:r>
      <w:rPr>
        <w:rFonts w:ascii="微软雅黑" w:eastAsia="微软雅黑" w:hAnsi="微软雅黑"/>
        <w:noProof/>
      </w:rPr>
      <mc:AlternateContent>
        <mc:Choice Requires="wps">
          <w:drawing>
            <wp:anchor distT="0" distB="0" distL="114300" distR="114300" simplePos="0" relativeHeight="251659264" behindDoc="0" locked="0" layoutInCell="1" allowOverlap="1">
              <wp:simplePos x="0" y="0"/>
              <wp:positionH relativeFrom="page">
                <wp:posOffset>5503545</wp:posOffset>
              </wp:positionH>
              <wp:positionV relativeFrom="page">
                <wp:posOffset>9952990</wp:posOffset>
              </wp:positionV>
              <wp:extent cx="635" cy="571500"/>
              <wp:effectExtent l="0" t="0" r="50165" b="38100"/>
              <wp:wrapNone/>
              <wp:docPr id="11"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1500"/>
                      </a:xfrm>
                      <a:prstGeom prst="straightConnector1">
                        <a:avLst/>
                      </a:prstGeom>
                      <a:noFill/>
                      <a:ln w="9525">
                        <a:solidFill>
                          <a:srgbClr val="FFFFFF"/>
                        </a:solidFill>
                        <a:round/>
                      </a:ln>
                    </wps:spPr>
                    <wps:bodyPr/>
                  </wps:wsp>
                </a:graphicData>
              </a:graphic>
            </wp:anchor>
          </w:drawing>
        </mc:Choice>
        <mc:Fallback xmlns:wpsCustomData="http://www.wps.cn/officeDocument/2013/wpsCustomData">
          <w:pict>
            <v:shape id="Straight Connector 28" o:spid="_x0000_s1026" o:spt="32" type="#_x0000_t32" style="position:absolute;left:0pt;margin-left:433.35pt;margin-top:783.7pt;height:45pt;width:0.05pt;mso-position-horizontal-relative:page;mso-position-vertical-relative:page;z-index:251659264;mso-width-relative:page;mso-height-relative:page;" filled="f" stroked="t" coordsize="21600,21600" o:gfxdata="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zeArbYAAAADQEAAA8AAAAA&#10;AAAAAQAgAAAAIgAAAGRycy9kb3ducmV2LnhtbFBLAQIUABQAAAAIAIdO4kCx9Q3/2wEAAL4DAAAO&#10;AAAAAAAAAAEAIAAAACcBAABkcnMvZTJvRG9jLnhtbFBLBQYAAAAABgAGAFkBAAB0BQAAAAA=&#10;">
              <v:fill on="f" focussize="0,0"/>
              <v:stroke color="#FFFFFF" joinstyle="round"/>
              <v:imagedata o:title=""/>
              <o:lock v:ext="edit" aspectratio="f"/>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270BE" w:rsidRDefault="00000000">
    <w:pPr>
      <w:pStyle w:val="a7"/>
      <w:jc w:val="center"/>
      <w:rPr>
        <w:rFonts w:hint="eastAsia"/>
      </w:rPr>
    </w:pPr>
    <w:r>
      <w:rPr>
        <w:noProof/>
      </w:rPr>
      <w:drawing>
        <wp:inline distT="0" distB="0" distL="0" distR="0">
          <wp:extent cx="6125210" cy="4178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284061" cy="4291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F7E61" w:rsidRDefault="003F7E61">
      <w:pPr>
        <w:rPr>
          <w:rFonts w:hint="eastAsia"/>
        </w:rPr>
      </w:pPr>
      <w:r>
        <w:separator/>
      </w:r>
    </w:p>
  </w:footnote>
  <w:footnote w:type="continuationSeparator" w:id="0">
    <w:p w:rsidR="003F7E61" w:rsidRDefault="003F7E61">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270BE" w:rsidRDefault="00000000">
    <w:pPr>
      <w:pStyle w:val="a9"/>
      <w:rPr>
        <w:rFonts w:hint="eastAsia"/>
      </w:rPr>
    </w:pPr>
    <w:r>
      <w:rPr>
        <w:rFonts w:hint="eastAsia"/>
        <w:noProof/>
      </w:rPr>
      <w:drawing>
        <wp:inline distT="0" distB="0" distL="0" distR="0">
          <wp:extent cx="6011545" cy="327025"/>
          <wp:effectExtent l="0" t="0" r="8255"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180699" cy="3362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023A9B"/>
    <w:multiLevelType w:val="multilevel"/>
    <w:tmpl w:val="1F023A9B"/>
    <w:lvl w:ilvl="0">
      <w:start w:val="1"/>
      <w:numFmt w:val="bullet"/>
      <w:lvlText w:val=""/>
      <w:lvlJc w:val="left"/>
      <w:pPr>
        <w:ind w:left="420" w:hanging="420"/>
      </w:pPr>
      <w:rPr>
        <w:rFonts w:ascii="Wingdings" w:hAnsi="Wingdings" w:hint="default"/>
        <w:color w:val="18447F"/>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5B3A02A0"/>
    <w:multiLevelType w:val="multilevel"/>
    <w:tmpl w:val="5B3A02A0"/>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674F0002"/>
    <w:multiLevelType w:val="multilevel"/>
    <w:tmpl w:val="674F0002"/>
    <w:lvl w:ilvl="0">
      <w:start w:val="1"/>
      <w:numFmt w:val="bullet"/>
      <w:lvlText w:val=""/>
      <w:lvlJc w:val="left"/>
      <w:pPr>
        <w:ind w:left="420" w:hanging="420"/>
      </w:pPr>
      <w:rPr>
        <w:rFonts w:ascii="Wingdings" w:hAnsi="Wingdings" w:hint="default"/>
        <w:color w:val="18447F"/>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2127658758">
    <w:abstractNumId w:val="2"/>
  </w:num>
  <w:num w:numId="2" w16cid:durableId="1489901175">
    <w:abstractNumId w:val="0"/>
  </w:num>
  <w:num w:numId="3" w16cid:durableId="10430229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420"/>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BmNTExYjBhMDQwNGNlZTliZjVhMzRiM2M0ZWIwMmQifQ=="/>
  </w:docVars>
  <w:rsids>
    <w:rsidRoot w:val="004D4BD0"/>
    <w:rsid w:val="AEF7DFEA"/>
    <w:rsid w:val="E7EFF695"/>
    <w:rsid w:val="E91FAE3F"/>
    <w:rsid w:val="F6BEE534"/>
    <w:rsid w:val="FF4780D7"/>
    <w:rsid w:val="FF4F12C7"/>
    <w:rsid w:val="000008EE"/>
    <w:rsid w:val="00001984"/>
    <w:rsid w:val="00002D74"/>
    <w:rsid w:val="0000704B"/>
    <w:rsid w:val="000107B6"/>
    <w:rsid w:val="00013936"/>
    <w:rsid w:val="00014B9B"/>
    <w:rsid w:val="000270BE"/>
    <w:rsid w:val="00032CE4"/>
    <w:rsid w:val="0003330D"/>
    <w:rsid w:val="00041225"/>
    <w:rsid w:val="0004242D"/>
    <w:rsid w:val="0004612C"/>
    <w:rsid w:val="00047D2E"/>
    <w:rsid w:val="00050FF8"/>
    <w:rsid w:val="000522FD"/>
    <w:rsid w:val="00052598"/>
    <w:rsid w:val="00052BA7"/>
    <w:rsid w:val="00054BF9"/>
    <w:rsid w:val="00054CB6"/>
    <w:rsid w:val="000556B3"/>
    <w:rsid w:val="00056FE4"/>
    <w:rsid w:val="00060F69"/>
    <w:rsid w:val="00065868"/>
    <w:rsid w:val="000828BD"/>
    <w:rsid w:val="0008318B"/>
    <w:rsid w:val="00086E6C"/>
    <w:rsid w:val="00092964"/>
    <w:rsid w:val="0009350F"/>
    <w:rsid w:val="00097129"/>
    <w:rsid w:val="000A692C"/>
    <w:rsid w:val="000B40C8"/>
    <w:rsid w:val="000B5AA8"/>
    <w:rsid w:val="000B63D3"/>
    <w:rsid w:val="000C27D2"/>
    <w:rsid w:val="000C2D48"/>
    <w:rsid w:val="000D2022"/>
    <w:rsid w:val="000D6C0E"/>
    <w:rsid w:val="000E2947"/>
    <w:rsid w:val="000E35CD"/>
    <w:rsid w:val="000F3451"/>
    <w:rsid w:val="000F3DD3"/>
    <w:rsid w:val="000F52A3"/>
    <w:rsid w:val="000F576C"/>
    <w:rsid w:val="000F5F8E"/>
    <w:rsid w:val="000F60B2"/>
    <w:rsid w:val="000F739F"/>
    <w:rsid w:val="001014BC"/>
    <w:rsid w:val="00103189"/>
    <w:rsid w:val="00111FEA"/>
    <w:rsid w:val="00114D7A"/>
    <w:rsid w:val="00115CC7"/>
    <w:rsid w:val="00116B4B"/>
    <w:rsid w:val="001242CD"/>
    <w:rsid w:val="00144A18"/>
    <w:rsid w:val="00152E8F"/>
    <w:rsid w:val="001750F8"/>
    <w:rsid w:val="001778C5"/>
    <w:rsid w:val="00183B56"/>
    <w:rsid w:val="001863E3"/>
    <w:rsid w:val="00186EE4"/>
    <w:rsid w:val="00187773"/>
    <w:rsid w:val="00193449"/>
    <w:rsid w:val="00196CD3"/>
    <w:rsid w:val="001A1F55"/>
    <w:rsid w:val="001A3171"/>
    <w:rsid w:val="001A468C"/>
    <w:rsid w:val="001B21BE"/>
    <w:rsid w:val="001B5A4C"/>
    <w:rsid w:val="001B5A4D"/>
    <w:rsid w:val="001B6AA3"/>
    <w:rsid w:val="001C5235"/>
    <w:rsid w:val="001C6250"/>
    <w:rsid w:val="001D1FFB"/>
    <w:rsid w:val="001D34BB"/>
    <w:rsid w:val="001D798B"/>
    <w:rsid w:val="001E507C"/>
    <w:rsid w:val="001F4460"/>
    <w:rsid w:val="001F4847"/>
    <w:rsid w:val="001F4B96"/>
    <w:rsid w:val="0020336F"/>
    <w:rsid w:val="0022735F"/>
    <w:rsid w:val="00234EC8"/>
    <w:rsid w:val="0023697E"/>
    <w:rsid w:val="00243BC3"/>
    <w:rsid w:val="00246482"/>
    <w:rsid w:val="00253746"/>
    <w:rsid w:val="00253B30"/>
    <w:rsid w:val="00257963"/>
    <w:rsid w:val="00262CFF"/>
    <w:rsid w:val="00264BC3"/>
    <w:rsid w:val="00267329"/>
    <w:rsid w:val="00283989"/>
    <w:rsid w:val="00292992"/>
    <w:rsid w:val="002979C8"/>
    <w:rsid w:val="002B063D"/>
    <w:rsid w:val="002B1111"/>
    <w:rsid w:val="002B3791"/>
    <w:rsid w:val="002B52C9"/>
    <w:rsid w:val="002C21A7"/>
    <w:rsid w:val="002C4436"/>
    <w:rsid w:val="002C5703"/>
    <w:rsid w:val="002D0D75"/>
    <w:rsid w:val="002D3F3A"/>
    <w:rsid w:val="002D43CD"/>
    <w:rsid w:val="002E4CC9"/>
    <w:rsid w:val="002F03BF"/>
    <w:rsid w:val="002F494E"/>
    <w:rsid w:val="002F7244"/>
    <w:rsid w:val="00305456"/>
    <w:rsid w:val="00305CDC"/>
    <w:rsid w:val="00307A44"/>
    <w:rsid w:val="00313711"/>
    <w:rsid w:val="00333E26"/>
    <w:rsid w:val="00336D32"/>
    <w:rsid w:val="0033786E"/>
    <w:rsid w:val="00337B81"/>
    <w:rsid w:val="00340041"/>
    <w:rsid w:val="00342C26"/>
    <w:rsid w:val="003433FC"/>
    <w:rsid w:val="00343678"/>
    <w:rsid w:val="00351861"/>
    <w:rsid w:val="00365FDE"/>
    <w:rsid w:val="00375CD3"/>
    <w:rsid w:val="00384728"/>
    <w:rsid w:val="00390C0B"/>
    <w:rsid w:val="00392A17"/>
    <w:rsid w:val="003A6D1B"/>
    <w:rsid w:val="003E4D5A"/>
    <w:rsid w:val="003E6872"/>
    <w:rsid w:val="003E7DAA"/>
    <w:rsid w:val="003F7E61"/>
    <w:rsid w:val="00402BD9"/>
    <w:rsid w:val="004123BD"/>
    <w:rsid w:val="00417D59"/>
    <w:rsid w:val="00426040"/>
    <w:rsid w:val="0043034F"/>
    <w:rsid w:val="004327D8"/>
    <w:rsid w:val="00433999"/>
    <w:rsid w:val="004351B6"/>
    <w:rsid w:val="00436097"/>
    <w:rsid w:val="004402C5"/>
    <w:rsid w:val="004431F9"/>
    <w:rsid w:val="00450A86"/>
    <w:rsid w:val="00456357"/>
    <w:rsid w:val="0046247F"/>
    <w:rsid w:val="00463320"/>
    <w:rsid w:val="004800E3"/>
    <w:rsid w:val="00481BA4"/>
    <w:rsid w:val="00486E95"/>
    <w:rsid w:val="004902A4"/>
    <w:rsid w:val="004916E4"/>
    <w:rsid w:val="00494437"/>
    <w:rsid w:val="004978F4"/>
    <w:rsid w:val="004A20CE"/>
    <w:rsid w:val="004A286B"/>
    <w:rsid w:val="004A3F1C"/>
    <w:rsid w:val="004A5233"/>
    <w:rsid w:val="004A6007"/>
    <w:rsid w:val="004B246F"/>
    <w:rsid w:val="004B3F97"/>
    <w:rsid w:val="004C1C80"/>
    <w:rsid w:val="004C278F"/>
    <w:rsid w:val="004C468A"/>
    <w:rsid w:val="004D013A"/>
    <w:rsid w:val="004D1728"/>
    <w:rsid w:val="004D4BD0"/>
    <w:rsid w:val="004D4EAE"/>
    <w:rsid w:val="004D5763"/>
    <w:rsid w:val="004D773F"/>
    <w:rsid w:val="004E7E88"/>
    <w:rsid w:val="004F0293"/>
    <w:rsid w:val="004F3DD3"/>
    <w:rsid w:val="00503CA6"/>
    <w:rsid w:val="00507F5E"/>
    <w:rsid w:val="00514A73"/>
    <w:rsid w:val="00516B3E"/>
    <w:rsid w:val="00516EFA"/>
    <w:rsid w:val="00520BF5"/>
    <w:rsid w:val="00523E56"/>
    <w:rsid w:val="00567D7E"/>
    <w:rsid w:val="005704EC"/>
    <w:rsid w:val="00577AEB"/>
    <w:rsid w:val="00581C05"/>
    <w:rsid w:val="00582744"/>
    <w:rsid w:val="005843FB"/>
    <w:rsid w:val="00586B76"/>
    <w:rsid w:val="005A0B6A"/>
    <w:rsid w:val="005A6F42"/>
    <w:rsid w:val="005C25D5"/>
    <w:rsid w:val="005C42D5"/>
    <w:rsid w:val="005C5542"/>
    <w:rsid w:val="005C5AE6"/>
    <w:rsid w:val="005C79C7"/>
    <w:rsid w:val="005E4C20"/>
    <w:rsid w:val="005E5C06"/>
    <w:rsid w:val="005F1C2A"/>
    <w:rsid w:val="005F2669"/>
    <w:rsid w:val="005F3647"/>
    <w:rsid w:val="005F3C78"/>
    <w:rsid w:val="005F7248"/>
    <w:rsid w:val="00600CA3"/>
    <w:rsid w:val="00612471"/>
    <w:rsid w:val="0061654E"/>
    <w:rsid w:val="00620039"/>
    <w:rsid w:val="006216D4"/>
    <w:rsid w:val="00631480"/>
    <w:rsid w:val="0063320E"/>
    <w:rsid w:val="00633E46"/>
    <w:rsid w:val="006400F2"/>
    <w:rsid w:val="0064209D"/>
    <w:rsid w:val="006451D1"/>
    <w:rsid w:val="006467E0"/>
    <w:rsid w:val="00650753"/>
    <w:rsid w:val="00655714"/>
    <w:rsid w:val="006643CA"/>
    <w:rsid w:val="00672DC9"/>
    <w:rsid w:val="00675C64"/>
    <w:rsid w:val="0068242E"/>
    <w:rsid w:val="00682A81"/>
    <w:rsid w:val="00682FA7"/>
    <w:rsid w:val="00686259"/>
    <w:rsid w:val="00690FD5"/>
    <w:rsid w:val="006979B2"/>
    <w:rsid w:val="006A3712"/>
    <w:rsid w:val="006A4D2E"/>
    <w:rsid w:val="006B2A60"/>
    <w:rsid w:val="006B50AB"/>
    <w:rsid w:val="006B5B65"/>
    <w:rsid w:val="006C08BB"/>
    <w:rsid w:val="006C0CD6"/>
    <w:rsid w:val="006C78FF"/>
    <w:rsid w:val="006D0123"/>
    <w:rsid w:val="006D281E"/>
    <w:rsid w:val="006E01CC"/>
    <w:rsid w:val="006E11DB"/>
    <w:rsid w:val="006E262E"/>
    <w:rsid w:val="006F2854"/>
    <w:rsid w:val="006F508E"/>
    <w:rsid w:val="006F5698"/>
    <w:rsid w:val="006F73BC"/>
    <w:rsid w:val="00701B6D"/>
    <w:rsid w:val="007113DB"/>
    <w:rsid w:val="00722E1D"/>
    <w:rsid w:val="00723683"/>
    <w:rsid w:val="00723E55"/>
    <w:rsid w:val="00730A93"/>
    <w:rsid w:val="007402DA"/>
    <w:rsid w:val="00743CA6"/>
    <w:rsid w:val="0075215F"/>
    <w:rsid w:val="00756A97"/>
    <w:rsid w:val="0077011D"/>
    <w:rsid w:val="007713AA"/>
    <w:rsid w:val="00772DFE"/>
    <w:rsid w:val="0078006A"/>
    <w:rsid w:val="00780D83"/>
    <w:rsid w:val="0078204A"/>
    <w:rsid w:val="0078349C"/>
    <w:rsid w:val="00783E08"/>
    <w:rsid w:val="007915CD"/>
    <w:rsid w:val="00794AC3"/>
    <w:rsid w:val="007A1897"/>
    <w:rsid w:val="007A71A4"/>
    <w:rsid w:val="007A775A"/>
    <w:rsid w:val="007B157D"/>
    <w:rsid w:val="007B1899"/>
    <w:rsid w:val="007B338A"/>
    <w:rsid w:val="007B6108"/>
    <w:rsid w:val="007B6F22"/>
    <w:rsid w:val="007C645D"/>
    <w:rsid w:val="007D1884"/>
    <w:rsid w:val="007D58DD"/>
    <w:rsid w:val="007D6950"/>
    <w:rsid w:val="007E23E0"/>
    <w:rsid w:val="007E574F"/>
    <w:rsid w:val="007F6343"/>
    <w:rsid w:val="007F797D"/>
    <w:rsid w:val="00800ED6"/>
    <w:rsid w:val="008056DD"/>
    <w:rsid w:val="00816C95"/>
    <w:rsid w:val="00817C03"/>
    <w:rsid w:val="00824CBC"/>
    <w:rsid w:val="0083597C"/>
    <w:rsid w:val="0084033E"/>
    <w:rsid w:val="00842755"/>
    <w:rsid w:val="00851E5C"/>
    <w:rsid w:val="00853A57"/>
    <w:rsid w:val="00861061"/>
    <w:rsid w:val="00874131"/>
    <w:rsid w:val="00874374"/>
    <w:rsid w:val="008822DA"/>
    <w:rsid w:val="00883468"/>
    <w:rsid w:val="0088589E"/>
    <w:rsid w:val="0088672D"/>
    <w:rsid w:val="00886C90"/>
    <w:rsid w:val="00886F74"/>
    <w:rsid w:val="0089329F"/>
    <w:rsid w:val="0089429D"/>
    <w:rsid w:val="008A4710"/>
    <w:rsid w:val="008A5DD6"/>
    <w:rsid w:val="008C3428"/>
    <w:rsid w:val="008C5CFA"/>
    <w:rsid w:val="008D647E"/>
    <w:rsid w:val="008D7EA9"/>
    <w:rsid w:val="008E1750"/>
    <w:rsid w:val="00910309"/>
    <w:rsid w:val="00911DB5"/>
    <w:rsid w:val="009159EF"/>
    <w:rsid w:val="00921E4E"/>
    <w:rsid w:val="0092751D"/>
    <w:rsid w:val="009300E1"/>
    <w:rsid w:val="00932B21"/>
    <w:rsid w:val="00933A7C"/>
    <w:rsid w:val="009464B6"/>
    <w:rsid w:val="00950FAE"/>
    <w:rsid w:val="009530D4"/>
    <w:rsid w:val="00966D8B"/>
    <w:rsid w:val="00971069"/>
    <w:rsid w:val="00971600"/>
    <w:rsid w:val="009736A6"/>
    <w:rsid w:val="00973D01"/>
    <w:rsid w:val="00975DC1"/>
    <w:rsid w:val="00980198"/>
    <w:rsid w:val="009871E2"/>
    <w:rsid w:val="009911BB"/>
    <w:rsid w:val="00991BA7"/>
    <w:rsid w:val="00991FFB"/>
    <w:rsid w:val="0099268B"/>
    <w:rsid w:val="009931D7"/>
    <w:rsid w:val="00994831"/>
    <w:rsid w:val="0099689E"/>
    <w:rsid w:val="009A1B6B"/>
    <w:rsid w:val="009A1D3F"/>
    <w:rsid w:val="009A5CBC"/>
    <w:rsid w:val="009A7098"/>
    <w:rsid w:val="009A7FE2"/>
    <w:rsid w:val="009B0D4F"/>
    <w:rsid w:val="009B56B6"/>
    <w:rsid w:val="009C26A9"/>
    <w:rsid w:val="009C450B"/>
    <w:rsid w:val="009D170F"/>
    <w:rsid w:val="009D199D"/>
    <w:rsid w:val="009E1C74"/>
    <w:rsid w:val="009E3B9B"/>
    <w:rsid w:val="009F67A9"/>
    <w:rsid w:val="00A02980"/>
    <w:rsid w:val="00A06A72"/>
    <w:rsid w:val="00A1210C"/>
    <w:rsid w:val="00A21DD7"/>
    <w:rsid w:val="00A30791"/>
    <w:rsid w:val="00A342FF"/>
    <w:rsid w:val="00A379CB"/>
    <w:rsid w:val="00A44ABB"/>
    <w:rsid w:val="00A51394"/>
    <w:rsid w:val="00A56A80"/>
    <w:rsid w:val="00A678BF"/>
    <w:rsid w:val="00A727DD"/>
    <w:rsid w:val="00A81FB8"/>
    <w:rsid w:val="00A85E75"/>
    <w:rsid w:val="00A9642E"/>
    <w:rsid w:val="00AA3B81"/>
    <w:rsid w:val="00AB4532"/>
    <w:rsid w:val="00AB5E98"/>
    <w:rsid w:val="00AC2A93"/>
    <w:rsid w:val="00AC6B53"/>
    <w:rsid w:val="00AD120E"/>
    <w:rsid w:val="00AE05EA"/>
    <w:rsid w:val="00AF1986"/>
    <w:rsid w:val="00B148E7"/>
    <w:rsid w:val="00B15A50"/>
    <w:rsid w:val="00B22C7A"/>
    <w:rsid w:val="00B3019D"/>
    <w:rsid w:val="00B325F7"/>
    <w:rsid w:val="00B40E52"/>
    <w:rsid w:val="00B446CC"/>
    <w:rsid w:val="00B45DC9"/>
    <w:rsid w:val="00B46E7A"/>
    <w:rsid w:val="00B532ED"/>
    <w:rsid w:val="00B543CA"/>
    <w:rsid w:val="00B54FFC"/>
    <w:rsid w:val="00B60701"/>
    <w:rsid w:val="00B61319"/>
    <w:rsid w:val="00B614CB"/>
    <w:rsid w:val="00B61EF8"/>
    <w:rsid w:val="00B6380B"/>
    <w:rsid w:val="00B66148"/>
    <w:rsid w:val="00B67731"/>
    <w:rsid w:val="00B67DE9"/>
    <w:rsid w:val="00B7136B"/>
    <w:rsid w:val="00B719AC"/>
    <w:rsid w:val="00B80DC0"/>
    <w:rsid w:val="00B83128"/>
    <w:rsid w:val="00B84234"/>
    <w:rsid w:val="00B95A50"/>
    <w:rsid w:val="00BB5777"/>
    <w:rsid w:val="00BB64E4"/>
    <w:rsid w:val="00BC205E"/>
    <w:rsid w:val="00BD2578"/>
    <w:rsid w:val="00BD351B"/>
    <w:rsid w:val="00BD71BD"/>
    <w:rsid w:val="00BE7924"/>
    <w:rsid w:val="00C022FF"/>
    <w:rsid w:val="00C04CDB"/>
    <w:rsid w:val="00C05889"/>
    <w:rsid w:val="00C065CA"/>
    <w:rsid w:val="00C10B71"/>
    <w:rsid w:val="00C14867"/>
    <w:rsid w:val="00C1596D"/>
    <w:rsid w:val="00C16F9E"/>
    <w:rsid w:val="00C24828"/>
    <w:rsid w:val="00C268F0"/>
    <w:rsid w:val="00C317DF"/>
    <w:rsid w:val="00C357B0"/>
    <w:rsid w:val="00C35FC7"/>
    <w:rsid w:val="00C4247E"/>
    <w:rsid w:val="00C46221"/>
    <w:rsid w:val="00C46F31"/>
    <w:rsid w:val="00C5024A"/>
    <w:rsid w:val="00C522C0"/>
    <w:rsid w:val="00C529A8"/>
    <w:rsid w:val="00C56CA3"/>
    <w:rsid w:val="00C62FD3"/>
    <w:rsid w:val="00C70042"/>
    <w:rsid w:val="00C705DF"/>
    <w:rsid w:val="00C810F0"/>
    <w:rsid w:val="00C81F05"/>
    <w:rsid w:val="00C9135E"/>
    <w:rsid w:val="00C94BB1"/>
    <w:rsid w:val="00CA0B8F"/>
    <w:rsid w:val="00CC0673"/>
    <w:rsid w:val="00CC582C"/>
    <w:rsid w:val="00CD36AD"/>
    <w:rsid w:val="00CD45E7"/>
    <w:rsid w:val="00CD4D00"/>
    <w:rsid w:val="00CD6F02"/>
    <w:rsid w:val="00CD73E3"/>
    <w:rsid w:val="00CE0575"/>
    <w:rsid w:val="00CE087F"/>
    <w:rsid w:val="00CF0131"/>
    <w:rsid w:val="00CF07CD"/>
    <w:rsid w:val="00D05EC9"/>
    <w:rsid w:val="00D23F7E"/>
    <w:rsid w:val="00D24B0E"/>
    <w:rsid w:val="00D26F31"/>
    <w:rsid w:val="00D27DCF"/>
    <w:rsid w:val="00D32B53"/>
    <w:rsid w:val="00D344AB"/>
    <w:rsid w:val="00D42EBA"/>
    <w:rsid w:val="00D468E5"/>
    <w:rsid w:val="00D56AC8"/>
    <w:rsid w:val="00D61115"/>
    <w:rsid w:val="00D67EEB"/>
    <w:rsid w:val="00D7346F"/>
    <w:rsid w:val="00D73BD5"/>
    <w:rsid w:val="00D81A00"/>
    <w:rsid w:val="00D92ABB"/>
    <w:rsid w:val="00D9360A"/>
    <w:rsid w:val="00D945DF"/>
    <w:rsid w:val="00DA1818"/>
    <w:rsid w:val="00DB45B1"/>
    <w:rsid w:val="00DB5C22"/>
    <w:rsid w:val="00DC088B"/>
    <w:rsid w:val="00DD1A57"/>
    <w:rsid w:val="00DD2943"/>
    <w:rsid w:val="00DD3E5B"/>
    <w:rsid w:val="00DE0C83"/>
    <w:rsid w:val="00DE4522"/>
    <w:rsid w:val="00DF101E"/>
    <w:rsid w:val="00DF3ECC"/>
    <w:rsid w:val="00E005C8"/>
    <w:rsid w:val="00E025BB"/>
    <w:rsid w:val="00E10B82"/>
    <w:rsid w:val="00E15DF1"/>
    <w:rsid w:val="00E2054E"/>
    <w:rsid w:val="00E21603"/>
    <w:rsid w:val="00E2651B"/>
    <w:rsid w:val="00E36365"/>
    <w:rsid w:val="00E373D3"/>
    <w:rsid w:val="00E4465E"/>
    <w:rsid w:val="00E459A3"/>
    <w:rsid w:val="00E45BA6"/>
    <w:rsid w:val="00E45CFB"/>
    <w:rsid w:val="00E45F80"/>
    <w:rsid w:val="00E5598F"/>
    <w:rsid w:val="00E61617"/>
    <w:rsid w:val="00E63F09"/>
    <w:rsid w:val="00E75AFA"/>
    <w:rsid w:val="00E77761"/>
    <w:rsid w:val="00EA5C35"/>
    <w:rsid w:val="00EA6540"/>
    <w:rsid w:val="00EA78C2"/>
    <w:rsid w:val="00EB0AB8"/>
    <w:rsid w:val="00EB3153"/>
    <w:rsid w:val="00EB5459"/>
    <w:rsid w:val="00EC52C1"/>
    <w:rsid w:val="00ED3DAC"/>
    <w:rsid w:val="00EE4824"/>
    <w:rsid w:val="00EF017C"/>
    <w:rsid w:val="00EF0C10"/>
    <w:rsid w:val="00EF7C58"/>
    <w:rsid w:val="00F01B45"/>
    <w:rsid w:val="00F044C4"/>
    <w:rsid w:val="00F056D8"/>
    <w:rsid w:val="00F154E9"/>
    <w:rsid w:val="00F255A2"/>
    <w:rsid w:val="00F319C3"/>
    <w:rsid w:val="00F42236"/>
    <w:rsid w:val="00F429EE"/>
    <w:rsid w:val="00F45ADF"/>
    <w:rsid w:val="00F50AC4"/>
    <w:rsid w:val="00F5111E"/>
    <w:rsid w:val="00F53CE7"/>
    <w:rsid w:val="00F7587C"/>
    <w:rsid w:val="00F82BB5"/>
    <w:rsid w:val="00FA5740"/>
    <w:rsid w:val="00FB59A0"/>
    <w:rsid w:val="00FB6F41"/>
    <w:rsid w:val="00FC44F3"/>
    <w:rsid w:val="00FC578C"/>
    <w:rsid w:val="00FC6A55"/>
    <w:rsid w:val="00FD0AA3"/>
    <w:rsid w:val="00FD2E4F"/>
    <w:rsid w:val="00FD4FFD"/>
    <w:rsid w:val="00FE388C"/>
    <w:rsid w:val="00FE4125"/>
    <w:rsid w:val="00FE4C9A"/>
    <w:rsid w:val="00FE7449"/>
    <w:rsid w:val="00FF5A2F"/>
    <w:rsid w:val="00FF7508"/>
    <w:rsid w:val="15737FA9"/>
    <w:rsid w:val="3FD24164"/>
    <w:rsid w:val="465B4D7C"/>
    <w:rsid w:val="4FCB3C32"/>
    <w:rsid w:val="6B3137C1"/>
    <w:rsid w:val="77FD2D6C"/>
    <w:rsid w:val="7BFEEDC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4:docId w14:val="0E758C52"/>
  <w14:defaultImageDpi w14:val="300"/>
  <w15:docId w15:val="{4E271381-E217-49C8-AD40-81A672F64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4"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widowControl w:val="0"/>
    </w:pPr>
    <w:rPr>
      <w:rFonts w:asciiTheme="minorHAnsi" w:eastAsiaTheme="minorEastAsia" w:hAnsiTheme="minorHAnsi" w:cstheme="minorBidi"/>
      <w:kern w:val="2"/>
      <w:sz w:val="21"/>
      <w:szCs w:val="22"/>
    </w:rPr>
  </w:style>
  <w:style w:type="paragraph" w:styleId="a5">
    <w:name w:val="Balloon Text"/>
    <w:basedOn w:val="a"/>
    <w:link w:val="a6"/>
    <w:uiPriority w:val="99"/>
    <w:unhideWhenUsed/>
    <w:qFormat/>
    <w:rPr>
      <w:rFonts w:ascii="Heiti SC Light" w:eastAsia="Heiti SC Light"/>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spacing w:before="100" w:beforeAutospacing="1" w:after="100" w:afterAutospacing="1"/>
    </w:pPr>
  </w:style>
  <w:style w:type="paragraph" w:styleId="ac">
    <w:name w:val="annotation subject"/>
    <w:basedOn w:val="a3"/>
    <w:next w:val="a3"/>
    <w:link w:val="ad"/>
    <w:uiPriority w:val="99"/>
    <w:unhideWhenUsed/>
    <w:qFormat/>
    <w:pPr>
      <w:widowControl/>
    </w:pPr>
    <w:rPr>
      <w:rFonts w:ascii="Times New Roman" w:eastAsia="宋体" w:hAnsi="Times New Roman" w:cs="Times New Roman"/>
      <w:b/>
      <w:bCs/>
      <w:kern w:val="0"/>
      <w:sz w:val="24"/>
      <w:szCs w:val="24"/>
    </w:rPr>
  </w:style>
  <w:style w:type="table" w:styleId="ae">
    <w:name w:val="Table Grid"/>
    <w:basedOn w:val="a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3-1">
    <w:name w:val="Medium Grid 3 Accent 1"/>
    <w:basedOn w:val="a1"/>
    <w:uiPriority w:val="64"/>
    <w:qFormat/>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character" w:styleId="af">
    <w:name w:val="Hyperlink"/>
    <w:uiPriority w:val="99"/>
    <w:unhideWhenUsed/>
    <w:qFormat/>
    <w:rPr>
      <w:color w:val="0000FF"/>
      <w:u w:val="single"/>
    </w:rPr>
  </w:style>
  <w:style w:type="character" w:styleId="af0">
    <w:name w:val="annotation reference"/>
    <w:basedOn w:val="a0"/>
    <w:uiPriority w:val="99"/>
    <w:unhideWhenUsed/>
    <w:qFormat/>
    <w:rPr>
      <w:sz w:val="21"/>
      <w:szCs w:val="21"/>
    </w:rPr>
  </w:style>
  <w:style w:type="character" w:customStyle="1" w:styleId="a6">
    <w:name w:val="批注框文本 字符"/>
    <w:basedOn w:val="a0"/>
    <w:link w:val="a5"/>
    <w:uiPriority w:val="99"/>
    <w:semiHidden/>
    <w:qFormat/>
    <w:rPr>
      <w:rFonts w:ascii="Heiti SC Light" w:eastAsia="Heiti SC Light"/>
      <w:sz w:val="18"/>
      <w:szCs w:val="18"/>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paragraph" w:customStyle="1" w:styleId="p0">
    <w:name w:val="p0"/>
    <w:basedOn w:val="a"/>
    <w:qFormat/>
    <w:pPr>
      <w:spacing w:line="360" w:lineRule="auto"/>
      <w:jc w:val="both"/>
    </w:pPr>
    <w:rPr>
      <w:sz w:val="21"/>
      <w:szCs w:val="21"/>
    </w:rPr>
  </w:style>
  <w:style w:type="character" w:customStyle="1" w:styleId="a4">
    <w:name w:val="批注文字 字符"/>
    <w:basedOn w:val="a0"/>
    <w:link w:val="a3"/>
    <w:uiPriority w:val="99"/>
    <w:qFormat/>
    <w:rPr>
      <w:rFonts w:asciiTheme="minorHAnsi" w:eastAsiaTheme="minorEastAsia" w:hAnsiTheme="minorHAnsi" w:cstheme="minorBidi"/>
      <w:kern w:val="2"/>
      <w:sz w:val="21"/>
      <w:szCs w:val="22"/>
    </w:rPr>
  </w:style>
  <w:style w:type="character" w:customStyle="1" w:styleId="ad">
    <w:name w:val="批注主题 字符"/>
    <w:basedOn w:val="a4"/>
    <w:link w:val="ac"/>
    <w:uiPriority w:val="99"/>
    <w:semiHidden/>
    <w:qFormat/>
    <w:rPr>
      <w:rFonts w:ascii="Times New Roman" w:eastAsiaTheme="minorEastAsia" w:hAnsi="Times New Roman" w:cstheme="minorBidi"/>
      <w:b/>
      <w:bCs/>
      <w:kern w:val="2"/>
      <w:sz w:val="24"/>
      <w:szCs w:val="24"/>
    </w:rPr>
  </w:style>
  <w:style w:type="paragraph" w:customStyle="1" w:styleId="af1">
    <w:name w:val="默认"/>
    <w:qFormat/>
    <w:rPr>
      <w:rFonts w:ascii="Helvetica" w:eastAsia="Helvetica" w:hAnsi="Helvetica" w:cs="Helvetica"/>
      <w:color w:val="000000"/>
      <w:sz w:val="22"/>
      <w:szCs w:val="22"/>
    </w:rPr>
  </w:style>
  <w:style w:type="paragraph" w:customStyle="1" w:styleId="1">
    <w:name w:val="列表段落1"/>
    <w:basedOn w:val="a"/>
    <w:uiPriority w:val="34"/>
    <w:qFormat/>
    <w:pPr>
      <w:ind w:firstLineChars="200" w:firstLine="420"/>
    </w:pPr>
  </w:style>
  <w:style w:type="table" w:customStyle="1" w:styleId="11">
    <w:name w:val="无格式表格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
    <w:name w:val="网格表 1 浅色 - 着色 11"/>
    <w:basedOn w:val="a1"/>
    <w:uiPriority w:val="46"/>
    <w:qFormat/>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2-11">
    <w:name w:val="网格表 2 - 着色 11"/>
    <w:basedOn w:val="a1"/>
    <w:uiPriority w:val="47"/>
    <w:qFormat/>
    <w:tblPr>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10">
    <w:name w:val="修订1"/>
    <w:hidden/>
    <w:uiPriority w:val="71"/>
    <w:semiHidden/>
    <w:qFormat/>
    <w:rPr>
      <w:rFonts w:ascii="宋体" w:hAnsi="宋体" w:cs="宋体"/>
      <w:sz w:val="24"/>
      <w:szCs w:val="24"/>
    </w:rPr>
  </w:style>
  <w:style w:type="table" w:customStyle="1" w:styleId="12">
    <w:name w:val="网格型浅色1"/>
    <w:basedOn w:val="a1"/>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01">
    <w:name w:val="font01"/>
    <w:basedOn w:val="a0"/>
    <w:qFormat/>
    <w:rPr>
      <w:rFonts w:ascii="微软雅黑" w:eastAsia="微软雅黑" w:hAnsi="微软雅黑" w:cs="微软雅黑" w:hint="default"/>
      <w:color w:val="0070C0"/>
      <w:sz w:val="22"/>
      <w:szCs w:val="22"/>
      <w:u w:val="none"/>
    </w:rPr>
  </w:style>
  <w:style w:type="character" w:customStyle="1" w:styleId="font21">
    <w:name w:val="font21"/>
    <w:basedOn w:val="a0"/>
    <w:qFormat/>
    <w:rPr>
      <w:rFonts w:ascii="宋体" w:eastAsia="宋体" w:hAnsi="宋体" w:cs="宋体" w:hint="eastAsia"/>
      <w:color w:val="303133"/>
      <w:sz w:val="20"/>
      <w:szCs w:val="20"/>
      <w:u w:val="none"/>
    </w:rPr>
  </w:style>
  <w:style w:type="character" w:customStyle="1" w:styleId="font41">
    <w:name w:val="font41"/>
    <w:basedOn w:val="a0"/>
    <w:qFormat/>
    <w:rPr>
      <w:rFonts w:ascii="宋体" w:eastAsia="宋体" w:hAnsi="宋体" w:cs="宋体" w:hint="eastAsia"/>
      <w:color w:val="000000"/>
      <w:sz w:val="22"/>
      <w:szCs w:val="22"/>
      <w:u w:val="none"/>
    </w:rPr>
  </w:style>
  <w:style w:type="paragraph" w:styleId="af2">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4E172644-C5B2-484D-ABE8-B4C840F81AB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1606</Words>
  <Characters>9156</Characters>
  <Application>Microsoft Office Word</Application>
  <DocSecurity>0</DocSecurity>
  <Lines>76</Lines>
  <Paragraphs>21</Paragraphs>
  <ScaleCrop>false</ScaleCrop>
  <Company>Microsoft</Company>
  <LinksUpToDate>false</LinksUpToDate>
  <CharactersWithSpaces>10741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genius ma</dc:creator>
  <cp:lastModifiedBy>F L</cp:lastModifiedBy>
  <cp:revision>78</cp:revision>
  <cp:lastPrinted>2015-10-12T01:57:00Z</cp:lastPrinted>
  <dcterms:created xsi:type="dcterms:W3CDTF">2020-05-10T01:19:00Z</dcterms:created>
  <dcterms:modified xsi:type="dcterms:W3CDTF">2025-11-28T07:03:00Z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27426804E10E450691BF1D90726510D5_12</vt:lpwstr>
  </property>
  <property fmtid="{D5CDD505-2E9C-101B-9397-08002B2CF9AE}" pid="4" name="KSOTemplateDocerSaveRecord">
    <vt:lpwstr>eyJoZGlkIjoiZGEwZjg1MTFmMTkzY2UyODhlM2JlZGY4MzM2NzgwYTEiLCJ1c2VySWQiOiI0MDM2NDMyNDYifQ==</vt:lpwstr>
  </property>
</Properties>
</file>