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CCAAAE">
      <w:pPr>
        <w:pStyle w:val="3"/>
        <w:numPr>
          <w:numId w:val="0"/>
        </w:numPr>
        <w:ind w:left="0" w:leftChars="0" w:firstLine="0" w:firstLineChars="0"/>
        <w:rPr>
          <w:lang w:val="en-US" w:eastAsia="zh-CN"/>
        </w:rPr>
      </w:pPr>
      <w:r>
        <w:rPr>
          <w:rFonts w:hint="default" w:eastAsia="仿宋" w:cs="微软雅黑" w:asciiTheme="minorAscii" w:hAnsiTheme="minorAscii"/>
          <w:b/>
          <w:kern w:val="44"/>
          <w:sz w:val="44"/>
          <w:szCs w:val="30"/>
          <w:lang w:val="en-US" w:eastAsia="zh-CN" w:bidi="ar-SA"/>
        </w:rPr>
        <w:t>1.</w:t>
      </w:r>
      <w:r>
        <w:rPr>
          <w:rFonts w:hint="eastAsia" w:cs="微软雅黑"/>
          <w:b/>
          <w:kern w:val="44"/>
          <w:sz w:val="44"/>
          <w:szCs w:val="30"/>
          <w:lang w:val="en-US" w:eastAsia="zh-CN" w:bidi="ar-SA"/>
        </w:rPr>
        <w:t>项目背景</w:t>
      </w:r>
    </w:p>
    <w:p w14:paraId="12B2A5AE">
      <w:pPr>
        <w:bidi w:val="0"/>
        <w:rPr>
          <w:rFonts w:hint="eastAsia"/>
        </w:rPr>
      </w:pPr>
      <w:r>
        <w:rPr>
          <w:rFonts w:hint="default"/>
        </w:rPr>
        <w:t>随着信息技术的快速发展，用户业务对信息系统的依赖程度日益加深，各类数据已成为支撑业务运行的核心要素。在推进核心业务数据集中化管理的进程中，信息中心的系统性能和业务承载能力正面临严峻挑战。</w:t>
      </w:r>
    </w:p>
    <w:p w14:paraId="7E5512EE">
      <w:pPr>
        <w:bidi w:val="0"/>
        <w:rPr>
          <w:rFonts w:hint="default"/>
        </w:rPr>
      </w:pPr>
      <w:r>
        <w:rPr>
          <w:rFonts w:hint="default"/>
        </w:rPr>
        <w:t>为应对这一形势，我院决定启动新一代数据中心的建设工作。作为信息化基础设施的关键组成部分，该数据中心将实现对科研数据、行政管理数据等各类信息的统一存储与智能化管理。通过构建集中化数据管理平台，不仅能显著提升数据资源利用效率和工作效能，同时可有效优化整体运营成本。</w:t>
      </w:r>
    </w:p>
    <w:p w14:paraId="293A39EB">
      <w:pPr>
        <w:pStyle w:val="3"/>
        <w:numPr>
          <w:numId w:val="0"/>
        </w:numPr>
        <w:ind w:left="0" w:leftChars="0" w:firstLine="0" w:firstLineChars="0"/>
      </w:pPr>
      <w:r>
        <w:rPr>
          <w:rFonts w:hint="default" w:eastAsia="仿宋" w:cs="微软雅黑" w:asciiTheme="minorAscii" w:hAnsiTheme="minorAscii"/>
          <w:b/>
          <w:kern w:val="44"/>
          <w:sz w:val="44"/>
          <w:szCs w:val="30"/>
          <w:lang w:val="en-US" w:eastAsia="zh-CN" w:bidi="ar-SA"/>
        </w:rPr>
        <w:t>2.</w:t>
      </w:r>
      <w:r>
        <w:t>产品质量</w:t>
      </w:r>
    </w:p>
    <w:p w14:paraId="10575C5C">
      <w:pPr>
        <w:pStyle w:val="4"/>
        <w:numPr>
          <w:numId w:val="0"/>
        </w:numPr>
        <w:ind w:left="0" w:leftChars="0" w:firstLine="0" w:firstLineChars="0"/>
      </w:pPr>
      <w:r>
        <w:rPr>
          <w:rFonts w:hint="default" w:ascii="宋体" w:hAnsi="宋体" w:eastAsia="宋体" w:cs="宋体"/>
          <w:b/>
          <w:kern w:val="2"/>
          <w:sz w:val="32"/>
          <w:szCs w:val="30"/>
          <w:lang w:val="en-US" w:eastAsia="zh-CN" w:bidi="ar-SA"/>
        </w:rPr>
        <w:t>2.1.</w:t>
      </w:r>
      <w:r>
        <w:t>设备</w:t>
      </w:r>
      <w:r>
        <w:rPr>
          <w:rFonts w:hint="eastAsia"/>
        </w:rPr>
        <w:t>的品牌</w:t>
      </w:r>
    </w:p>
    <w:p w14:paraId="7595FB4F">
      <w:pPr>
        <w:bidi w:val="0"/>
        <w:rPr>
          <w:rFonts w:hint="eastAsia"/>
        </w:rPr>
      </w:pPr>
      <w:r>
        <w:rPr>
          <w:rFonts w:hint="eastAsia"/>
        </w:rPr>
        <w:t xml:space="preserve"> 华存智谷自主品牌“天宫存储”，诞生源于《四川省“十四五”存储产业发展规划》和中国“存储谷”生态合作发展要求，立足全国最大的专业化存储研发机构（华为成都研究所）的技术积累，充分发挥股东在市场、政策和技术等方面的优势，聚焦自主可控的绿色存储解决方案，填补了四川省算存一体化产品空白，立志成为专业的自主可控绿色存储解决方案提供商，剑指存储产业5000亿市场。</w:t>
      </w:r>
    </w:p>
    <w:p w14:paraId="38498A76">
      <w:pPr>
        <w:bidi w:val="0"/>
        <w:rPr>
          <w:rFonts w:hint="eastAsia"/>
        </w:rPr>
      </w:pPr>
      <w:r>
        <w:rPr>
          <w:rFonts w:hint="eastAsia"/>
        </w:rPr>
        <w:t>公司充分借助四川在制造能力、芯片设计、存储人才等方面优势，通过与华为、华鲲振宇等公司紧密合作，目前拥有8000平米厂房和3条高标准生产线，搭载华为“鲲鹏”处理器，快速形成了“天宫”存储产品布局，推出了全闪存存储，融合存储，海量存储，超融合四大系列，共30余款产品，可广泛服务于政府、交通、安平、金融、医卫、教育等行业，年产能2万余台，预计5年内产值可达百亿。</w:t>
      </w:r>
    </w:p>
    <w:p w14:paraId="227F5D4B">
      <w:pPr>
        <w:bidi w:val="0"/>
        <w:rPr>
          <w:rFonts w:hint="eastAsia"/>
        </w:rPr>
      </w:pPr>
      <w:r>
        <w:rPr>
          <w:rFonts w:hint="eastAsia"/>
        </w:rPr>
        <w:t>华存智谷依托成都得天独厚的人才优势，自成立之初，就组建了存储精英团队，构建企业核心竞争力。公司中高层全部为华为原存储产品线管理团队和技术专家。具备了存储解决方案咨询、售前、交付和数据迁移能力。</w:t>
      </w:r>
    </w:p>
    <w:p w14:paraId="13259897">
      <w:pPr>
        <w:rPr>
          <w:rFonts w:hint="eastAsia"/>
        </w:rPr>
      </w:pPr>
    </w:p>
    <w:p w14:paraId="7AA531DE">
      <w:pPr>
        <w:pStyle w:val="4"/>
        <w:numPr>
          <w:numId w:val="0"/>
        </w:numPr>
        <w:ind w:left="0" w:leftChars="0" w:firstLine="0" w:firstLineChars="0"/>
      </w:pPr>
      <w:r>
        <w:rPr>
          <w:rFonts w:hint="default" w:ascii="宋体" w:hAnsi="宋体" w:eastAsia="宋体" w:cs="宋体"/>
          <w:b/>
          <w:kern w:val="2"/>
          <w:sz w:val="32"/>
          <w:szCs w:val="30"/>
          <w:lang w:val="en-US" w:eastAsia="zh-CN" w:bidi="ar-SA"/>
        </w:rPr>
        <w:t>2.2.</w:t>
      </w:r>
      <w:r>
        <w:rPr>
          <w:rFonts w:hint="eastAsia"/>
          <w:lang w:val="en-US" w:eastAsia="zh-CN"/>
        </w:rPr>
        <w:t>高</w:t>
      </w:r>
      <w:r>
        <w:rPr>
          <w:rFonts w:hint="eastAsia"/>
        </w:rPr>
        <w:t>性能及</w:t>
      </w:r>
      <w:r>
        <w:rPr>
          <w:rFonts w:hint="eastAsia"/>
          <w:lang w:val="en-US" w:eastAsia="zh-CN"/>
        </w:rPr>
        <w:t>高</w:t>
      </w:r>
      <w:r>
        <w:rPr>
          <w:rFonts w:hint="eastAsia"/>
        </w:rPr>
        <w:t>可靠性</w:t>
      </w:r>
    </w:p>
    <w:p w14:paraId="578FD773">
      <w:pPr>
        <w:pStyle w:val="5"/>
        <w:numPr>
          <w:numId w:val="0"/>
        </w:numPr>
        <w:bidi w:val="0"/>
        <w:ind w:left="0" w:leftChars="0" w:firstLine="0" w:firstLineChars="0"/>
        <w:rPr>
          <w:rFonts w:hint="default"/>
          <w:lang w:val="en-US" w:eastAsia="zh-CN"/>
        </w:rPr>
      </w:pPr>
      <w:r>
        <w:rPr>
          <w:rFonts w:hint="default" w:ascii="宋体" w:hAnsi="宋体" w:eastAsia="宋体" w:cs="宋体"/>
          <w:b/>
          <w:kern w:val="2"/>
          <w:sz w:val="30"/>
          <w:szCs w:val="30"/>
          <w:lang w:val="en-US" w:eastAsia="zh-CN" w:bidi="ar-SA"/>
        </w:rPr>
        <w:t>2.2.1.</w:t>
      </w:r>
      <w:r>
        <w:rPr>
          <w:rFonts w:hint="eastAsia"/>
          <w:lang w:val="en-US" w:eastAsia="zh-CN"/>
        </w:rPr>
        <w:t>产品的高可靠</w:t>
      </w:r>
    </w:p>
    <w:p w14:paraId="77755575">
      <w:pPr>
        <w:bidi w:val="0"/>
        <w:rPr>
          <w:rFonts w:hint="eastAsia" w:eastAsia="仿宋"/>
          <w:lang w:eastAsia="zh-CN"/>
        </w:rPr>
      </w:pPr>
      <w:r>
        <w:rPr>
          <w:rFonts w:hint="eastAsia"/>
        </w:rPr>
        <w:t>多副本保证数据可靠性，支持2-8个副本灵活配置，比如三副本只有3份数据同时丢失时用户数据才会真正丢失</w:t>
      </w:r>
      <w:r>
        <w:rPr>
          <w:rFonts w:hint="eastAsia"/>
          <w:lang w:eastAsia="zh-CN"/>
        </w:rPr>
        <w:t>。</w:t>
      </w:r>
    </w:p>
    <w:p w14:paraId="7AB854A4">
      <w:pPr>
        <w:bidi w:val="0"/>
        <w:rPr>
          <w:rFonts w:hint="eastAsia" w:eastAsia="仿宋"/>
          <w:lang w:eastAsia="zh-CN"/>
        </w:rPr>
      </w:pPr>
      <w:r>
        <w:rPr>
          <w:rFonts w:hint="eastAsia"/>
        </w:rPr>
        <w:t>支持N+1到N+4的不同纠删码级别，可基于资源池和目录设置，节点故障时支持自动调整EC配比</w:t>
      </w:r>
      <w:r>
        <w:rPr>
          <w:rFonts w:hint="eastAsia"/>
          <w:lang w:eastAsia="zh-CN"/>
        </w:rPr>
        <w:t>。</w:t>
      </w:r>
    </w:p>
    <w:p w14:paraId="15112FB6">
      <w:pPr>
        <w:bidi w:val="0"/>
        <w:rPr>
          <w:rFonts w:hint="eastAsia"/>
          <w:lang w:eastAsia="zh-CN"/>
        </w:rPr>
      </w:pPr>
      <w:r>
        <w:rPr>
          <w:rFonts w:hint="eastAsia"/>
        </w:rPr>
        <w:t>全面的数据保护和容灾能力，支持复制、快照、克隆、拷贝、故障域、保护域等技术数据可靠性高达11个9</w:t>
      </w:r>
      <w:r>
        <w:rPr>
          <w:rFonts w:hint="eastAsia"/>
          <w:lang w:eastAsia="zh-CN"/>
        </w:rPr>
        <w:t>。</w:t>
      </w:r>
    </w:p>
    <w:p w14:paraId="0D830303">
      <w:pPr>
        <w:bidi w:val="0"/>
        <w:rPr>
          <w:rFonts w:hint="eastAsia"/>
          <w:lang w:val="en-US" w:eastAsia="zh-CN"/>
        </w:rPr>
      </w:pPr>
      <w:r>
        <w:rPr>
          <w:rFonts w:hint="eastAsia"/>
          <w:lang w:val="en-US" w:eastAsia="zh-CN"/>
        </w:rPr>
        <w:t>此次配置8</w:t>
      </w:r>
      <w:r>
        <w:rPr>
          <w:rFonts w:hint="eastAsia"/>
        </w:rPr>
        <w:t>+</w:t>
      </w:r>
      <w:r>
        <w:rPr>
          <w:rFonts w:hint="eastAsia"/>
          <w:lang w:val="en-US" w:eastAsia="zh-CN"/>
        </w:rPr>
        <w:t>2的EC配比，能支持存储系统任意存储节点内2 块硬盘故障，或任意2 个节点。</w:t>
      </w:r>
    </w:p>
    <w:p w14:paraId="1BCA8DFB">
      <w:pPr>
        <w:pStyle w:val="2"/>
      </w:pPr>
    </w:p>
    <w:p w14:paraId="4D5F2B42">
      <w:pPr>
        <w:pStyle w:val="2"/>
        <w:rPr>
          <w:rFonts w:hint="default"/>
          <w:lang w:val="en-US"/>
        </w:rPr>
      </w:pPr>
      <w:r>
        <w:rPr>
          <w:rFonts w:hint="eastAsia"/>
        </w:rPr>
        <w:t xml:space="preserve"> </w:t>
      </w:r>
      <w:r>
        <w:rPr>
          <w:rFonts w:hint="eastAsia"/>
          <w:lang w:eastAsia="zh-CN"/>
        </w:rPr>
        <w:t>华存TGStor Galaxy系列</w:t>
      </w:r>
      <w:r>
        <w:rPr>
          <w:rFonts w:hint="eastAsia"/>
          <w:lang w:val="en-US" w:eastAsia="zh-CN"/>
        </w:rPr>
        <w:t>的硬件架构</w:t>
      </w:r>
    </w:p>
    <w:p w14:paraId="0101BC2B">
      <w:pPr>
        <w:pStyle w:val="2"/>
        <w:rPr>
          <w:rFonts w:hint="default"/>
          <w:lang w:val="en-US"/>
        </w:rPr>
      </w:pPr>
      <w:r>
        <w:drawing>
          <wp:inline distT="0" distB="0" distL="114300" distR="114300">
            <wp:extent cx="3818255" cy="4199890"/>
            <wp:effectExtent l="0" t="0" r="444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3818255" cy="4199890"/>
                    </a:xfrm>
                    <a:prstGeom prst="rect">
                      <a:avLst/>
                    </a:prstGeom>
                    <a:noFill/>
                    <a:ln>
                      <a:noFill/>
                    </a:ln>
                  </pic:spPr>
                </pic:pic>
              </a:graphicData>
            </a:graphic>
          </wp:inline>
        </w:drawing>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63"/>
        <w:gridCol w:w="1906"/>
        <w:gridCol w:w="5850"/>
      </w:tblGrid>
      <w:tr w14:paraId="1C54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6" w:hRule="atLeast"/>
          <w:tblHeader/>
        </w:trPr>
        <w:tc>
          <w:tcPr>
            <w:tcW w:w="448" w:type="pct"/>
            <w:tcBorders>
              <w:top w:val="single" w:color="auto" w:sz="8" w:space="0"/>
              <w:left w:val="nil"/>
              <w:bottom w:val="single" w:color="808080" w:sz="8" w:space="0"/>
              <w:right w:val="single" w:color="808080" w:sz="8" w:space="0"/>
            </w:tcBorders>
            <w:shd w:val="clear" w:color="auto" w:fill="D9D9D9"/>
            <w:tcMar>
              <w:left w:w="108" w:type="dxa"/>
              <w:right w:w="108" w:type="dxa"/>
            </w:tcMar>
            <w:vAlign w:val="top"/>
          </w:tcPr>
          <w:p w14:paraId="3D2BC77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118" w:type="pct"/>
            <w:tcBorders>
              <w:top w:val="single" w:color="auto" w:sz="8" w:space="0"/>
              <w:left w:val="nil"/>
              <w:bottom w:val="single" w:color="808080" w:sz="8" w:space="0"/>
              <w:right w:val="single" w:color="808080" w:sz="8" w:space="0"/>
            </w:tcBorders>
            <w:shd w:val="clear" w:color="auto" w:fill="D9D9D9"/>
            <w:tcMar>
              <w:left w:w="108" w:type="dxa"/>
              <w:right w:w="108" w:type="dxa"/>
            </w:tcMar>
            <w:vAlign w:val="top"/>
          </w:tcPr>
          <w:p w14:paraId="056D72A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名称</w:t>
            </w:r>
          </w:p>
        </w:tc>
        <w:tc>
          <w:tcPr>
            <w:tcW w:w="3432" w:type="pct"/>
            <w:tcBorders>
              <w:top w:val="single" w:color="auto" w:sz="8" w:space="0"/>
              <w:left w:val="nil"/>
              <w:bottom w:val="single" w:color="808080" w:sz="8" w:space="0"/>
              <w:right w:val="nil"/>
            </w:tcBorders>
            <w:shd w:val="clear" w:color="auto" w:fill="D9D9D9"/>
            <w:tcMar>
              <w:left w:w="108" w:type="dxa"/>
              <w:right w:w="108" w:type="dxa"/>
            </w:tcMar>
            <w:vAlign w:val="top"/>
          </w:tcPr>
          <w:p w14:paraId="65F50CD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说明</w:t>
            </w:r>
          </w:p>
        </w:tc>
      </w:tr>
      <w:tr w14:paraId="5572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1E1C1C8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0DCF20D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机箱</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18E2A59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机箱将所有部件集中到一起</w:t>
            </w:r>
          </w:p>
        </w:tc>
      </w:tr>
      <w:tr w14:paraId="0B9F8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7C0317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6A99B44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机箱盖</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23B2E63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w:t>
            </w:r>
          </w:p>
        </w:tc>
      </w:tr>
      <w:tr w14:paraId="641BD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48944AF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7B48965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安全面板</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5DDD32A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w:t>
            </w:r>
          </w:p>
        </w:tc>
      </w:tr>
      <w:tr w14:paraId="7556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5D1D7F1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3D46965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主板</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3272EA9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设备最重要的部件之一，用于安装CPU、内存和风扇等，集成了设备的基础元器件，包括BIOS芯片、HDM芯片、PCIe Riser卡插槽等</w:t>
            </w:r>
          </w:p>
        </w:tc>
      </w:tr>
      <w:tr w14:paraId="675BE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138376D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48653CA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内存</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1515623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用于暂时存放CPU中的运算数据，以及与硬盘等外部存储设备交换的数据</w:t>
            </w:r>
          </w:p>
        </w:tc>
      </w:tr>
      <w:tr w14:paraId="40A4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3816DDB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7919022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CPU夹持片</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76EE6DD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用于将CPU固定到散热器上</w:t>
            </w:r>
          </w:p>
        </w:tc>
      </w:tr>
      <w:tr w14:paraId="22D63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DFD47F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C96857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CPU</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0E06FB9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集成内存控制器和PCIe控制器，为一体机提供强大的数据处理功能</w:t>
            </w:r>
          </w:p>
        </w:tc>
      </w:tr>
      <w:tr w14:paraId="3A3FA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04AD81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5E8BCD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CPU散热器</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59DE507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为CPU散热</w:t>
            </w:r>
          </w:p>
        </w:tc>
      </w:tr>
      <w:tr w14:paraId="081A5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33EAA01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4CC9C2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硬盘</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25CD9B0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为一体机提供数据存储介质，支持热插拔</w:t>
            </w:r>
          </w:p>
        </w:tc>
      </w:tr>
      <w:tr w14:paraId="1FD2F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336DAB9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10</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2FB7A7E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硬盘笼</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09F80DA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用于扩展硬盘</w:t>
            </w:r>
          </w:p>
        </w:tc>
      </w:tr>
      <w:tr w14:paraId="5DE2A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00874CF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11</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117166A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SATA M.2 SSD转接卡</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7EB8271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用于安装SATA M.2 SSD卡</w:t>
            </w:r>
          </w:p>
        </w:tc>
      </w:tr>
      <w:tr w14:paraId="66062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214E7FE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12</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703BCA6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整机导风罩</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703681E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为机箱内部提供散热风道</w:t>
            </w:r>
          </w:p>
        </w:tc>
      </w:tr>
      <w:tr w14:paraId="292CC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4CB98E2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13</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663CB0C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智能挂耳</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081CB20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位于机箱前部两侧，用于将服务器固定在机柜上，并提供了指示灯和按钮等</w:t>
            </w:r>
          </w:p>
        </w:tc>
      </w:tr>
      <w:tr w14:paraId="2E520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5BD21DF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14</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4617CFA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硬盘背板</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4287203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为硬盘供电并提供数据传输通道</w:t>
            </w:r>
          </w:p>
        </w:tc>
      </w:tr>
      <w:tr w14:paraId="19D4B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2DA7CC7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15</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6BF8D81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系统电池</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3B84B51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为主板供电</w:t>
            </w:r>
          </w:p>
        </w:tc>
      </w:tr>
      <w:tr w14:paraId="55BC4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6434B3F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16</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75B3D82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风扇笼</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0634B4C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用于安装风扇</w:t>
            </w:r>
          </w:p>
        </w:tc>
      </w:tr>
      <w:tr w14:paraId="2776E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6EFBF57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17</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13D8C56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风扇</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6E21F3F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为一体机散热提供动力，支持热插拔</w:t>
            </w:r>
          </w:p>
        </w:tc>
      </w:tr>
      <w:tr w14:paraId="43905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2628A9D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18</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E8C8DE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标准存储控制卡</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25CBD8F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一种存储控制卡，支持安装到PCIe槽位</w:t>
            </w:r>
          </w:p>
        </w:tc>
      </w:tr>
      <w:tr w14:paraId="6578A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A6CCEF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19</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4A0AD00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PCIe网卡</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4C51074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一种网卡，支持安装到PCIe槽位</w:t>
            </w:r>
          </w:p>
        </w:tc>
      </w:tr>
      <w:tr w14:paraId="0323E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1104E8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20</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61119D2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FLOM网卡</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7F789EF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一种网卡，仅支持安装到主板的FLOM网卡插槽</w:t>
            </w:r>
          </w:p>
        </w:tc>
      </w:tr>
      <w:tr w14:paraId="16DC3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432A5D7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21</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1BE3BDC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Mezz存储控制卡</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3262334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一种存储控制卡，仅支持安装到主板上的Mezz存储控制卡插槽</w:t>
            </w:r>
          </w:p>
        </w:tc>
      </w:tr>
      <w:tr w14:paraId="13C6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5F0071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22</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3C8783E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存储控制卡超级电容</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321DA89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用于在系统意外掉电时为存储控制卡供电，实现存储控制卡上数据的掉电保护</w:t>
            </w:r>
          </w:p>
        </w:tc>
      </w:tr>
      <w:tr w14:paraId="21B60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5"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389102E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23</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68AA881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超级电容固定座</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77E0AAF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用于将超级电容固定到机箱</w:t>
            </w:r>
          </w:p>
        </w:tc>
      </w:tr>
      <w:tr w14:paraId="28D0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3"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427C184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24</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F66CE9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开箱告警模块</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474A245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用于检测机箱盖是否被打开，检测结果通过HDM Web界面显示</w:t>
            </w:r>
          </w:p>
        </w:tc>
      </w:tr>
      <w:tr w14:paraId="7E18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3D4D856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25</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14C3567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假面板</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17DF853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主板上未安装Riser卡时，请安装该假面板，以确保设备正常散热</w:t>
            </w:r>
          </w:p>
        </w:tc>
      </w:tr>
      <w:tr w14:paraId="7873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797FC81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26</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0C36E9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Riser卡</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256A4EA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PCIe转接卡，支持安装到主板的PCIe Riser卡插槽</w:t>
            </w:r>
          </w:p>
        </w:tc>
      </w:tr>
      <w:tr w14:paraId="20D78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0FFD5A5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27</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023029A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电源模块</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1EC69E5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为设备运行提供电力转换功能。电源模块支持热插拔，支持1+1冗余</w:t>
            </w:r>
          </w:p>
        </w:tc>
      </w:tr>
      <w:tr w14:paraId="6A8F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19F92FD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28</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53997DD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电池盒</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3783AD7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用于放置超级电容</w:t>
            </w:r>
          </w:p>
        </w:tc>
      </w:tr>
      <w:tr w14:paraId="69FED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66AA587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29</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784CA30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电池盒托盒</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3F72372E">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用于放置电池盒</w:t>
            </w:r>
          </w:p>
        </w:tc>
      </w:tr>
      <w:tr w14:paraId="6E78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808080" w:sz="8" w:space="0"/>
              <w:right w:val="single" w:color="808080" w:sz="8" w:space="0"/>
            </w:tcBorders>
            <w:shd w:val="clear" w:color="auto" w:fill="auto"/>
            <w:tcMar>
              <w:left w:w="108" w:type="dxa"/>
              <w:right w:w="108" w:type="dxa"/>
            </w:tcMar>
            <w:vAlign w:val="top"/>
          </w:tcPr>
          <w:p w14:paraId="655940A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30</w:t>
            </w:r>
          </w:p>
        </w:tc>
        <w:tc>
          <w:tcPr>
            <w:tcW w:w="1118" w:type="pct"/>
            <w:tcBorders>
              <w:top w:val="nil"/>
              <w:left w:val="nil"/>
              <w:bottom w:val="single" w:color="808080" w:sz="8" w:space="0"/>
              <w:right w:val="single" w:color="808080" w:sz="8" w:space="0"/>
            </w:tcBorders>
            <w:shd w:val="clear" w:color="auto" w:fill="auto"/>
            <w:tcMar>
              <w:left w:w="108" w:type="dxa"/>
              <w:right w:w="108" w:type="dxa"/>
            </w:tcMar>
            <w:vAlign w:val="top"/>
          </w:tcPr>
          <w:p w14:paraId="4A60616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NVDIMM</w:t>
            </w:r>
          </w:p>
        </w:tc>
        <w:tc>
          <w:tcPr>
            <w:tcW w:w="3432" w:type="pct"/>
            <w:tcBorders>
              <w:top w:val="nil"/>
              <w:left w:val="nil"/>
              <w:bottom w:val="single" w:color="808080" w:sz="8" w:space="0"/>
              <w:right w:val="nil"/>
            </w:tcBorders>
            <w:shd w:val="clear" w:color="auto" w:fill="auto"/>
            <w:tcMar>
              <w:left w:w="108" w:type="dxa"/>
              <w:right w:w="108" w:type="dxa"/>
            </w:tcMar>
            <w:vAlign w:val="top"/>
          </w:tcPr>
          <w:p w14:paraId="2E7B5B6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用于暂时存放CPU中的运算数据，以及与硬盘等外部存储设备交换的数据。需配合NVDIMM超级电容使用</w:t>
            </w:r>
          </w:p>
        </w:tc>
      </w:tr>
      <w:tr w14:paraId="090CA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2" w:hRule="atLeast"/>
        </w:trPr>
        <w:tc>
          <w:tcPr>
            <w:tcW w:w="448" w:type="pct"/>
            <w:tcBorders>
              <w:top w:val="nil"/>
              <w:left w:val="nil"/>
              <w:bottom w:val="single" w:color="auto" w:sz="8" w:space="0"/>
              <w:right w:val="single" w:color="808080" w:sz="8" w:space="0"/>
            </w:tcBorders>
            <w:shd w:val="clear" w:color="auto" w:fill="auto"/>
            <w:tcMar>
              <w:left w:w="108" w:type="dxa"/>
              <w:right w:w="108" w:type="dxa"/>
            </w:tcMar>
            <w:vAlign w:val="top"/>
          </w:tcPr>
          <w:p w14:paraId="07FF09A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31</w:t>
            </w:r>
          </w:p>
        </w:tc>
        <w:tc>
          <w:tcPr>
            <w:tcW w:w="1118" w:type="pct"/>
            <w:tcBorders>
              <w:top w:val="nil"/>
              <w:left w:val="nil"/>
              <w:bottom w:val="single" w:color="auto" w:sz="8" w:space="0"/>
              <w:right w:val="single" w:color="808080" w:sz="8" w:space="0"/>
            </w:tcBorders>
            <w:shd w:val="clear" w:color="auto" w:fill="auto"/>
            <w:tcMar>
              <w:left w:w="108" w:type="dxa"/>
              <w:right w:w="108" w:type="dxa"/>
            </w:tcMar>
            <w:vAlign w:val="top"/>
          </w:tcPr>
          <w:p w14:paraId="6C31995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NVDIMM超级电容</w:t>
            </w:r>
          </w:p>
        </w:tc>
        <w:tc>
          <w:tcPr>
            <w:tcW w:w="3432" w:type="pct"/>
            <w:tcBorders>
              <w:top w:val="nil"/>
              <w:left w:val="nil"/>
              <w:bottom w:val="single" w:color="auto" w:sz="8" w:space="0"/>
              <w:right w:val="nil"/>
            </w:tcBorders>
            <w:shd w:val="clear" w:color="auto" w:fill="auto"/>
            <w:tcMar>
              <w:left w:w="108" w:type="dxa"/>
              <w:right w:w="108" w:type="dxa"/>
            </w:tcMar>
            <w:vAlign w:val="top"/>
          </w:tcPr>
          <w:p w14:paraId="5A783B1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 w:hAnsi="仿宋" w:eastAsia="仿宋" w:cs="仿宋"/>
                <w:sz w:val="24"/>
                <w:szCs w:val="24"/>
              </w:rPr>
            </w:pPr>
            <w:r>
              <w:rPr>
                <w:rFonts w:hint="eastAsia" w:ascii="仿宋" w:hAnsi="仿宋" w:eastAsia="仿宋" w:cs="仿宋"/>
                <w:sz w:val="24"/>
                <w:szCs w:val="24"/>
              </w:rPr>
              <w:t>用于在系统意外掉电时为NVDIMM供电，实现NVDIMM上数据的掉电保护</w:t>
            </w:r>
          </w:p>
        </w:tc>
      </w:tr>
    </w:tbl>
    <w:p w14:paraId="1F728441">
      <w:pPr>
        <w:pStyle w:val="2"/>
        <w:rPr>
          <w:rFonts w:hint="default" w:eastAsia="仿宋"/>
          <w:lang w:val="en-US" w:eastAsia="zh-CN"/>
        </w:rPr>
      </w:pPr>
    </w:p>
    <w:p w14:paraId="369D0B60">
      <w:pPr>
        <w:rPr>
          <w:rFonts w:hint="default"/>
          <w:lang w:val="en-US" w:eastAsia="zh-CN"/>
        </w:rPr>
      </w:pPr>
    </w:p>
    <w:p w14:paraId="58E37547">
      <w:pPr>
        <w:pStyle w:val="3"/>
        <w:numPr>
          <w:numId w:val="0"/>
        </w:numPr>
        <w:bidi w:val="0"/>
        <w:ind w:left="0" w:leftChars="0" w:firstLine="0" w:firstLineChars="0"/>
      </w:pPr>
      <w:r>
        <w:rPr>
          <w:rFonts w:hint="default" w:eastAsia="仿宋" w:cs="微软雅黑" w:asciiTheme="minorAscii" w:hAnsiTheme="minorAscii"/>
          <w:b/>
          <w:kern w:val="44"/>
          <w:sz w:val="44"/>
          <w:szCs w:val="30"/>
          <w:lang w:val="en-US" w:eastAsia="zh-CN" w:bidi="ar-SA"/>
        </w:rPr>
        <w:t>3.</w:t>
      </w:r>
      <w:r>
        <w:rPr>
          <w:rFonts w:hint="eastAsia"/>
        </w:rPr>
        <w:t>产品</w:t>
      </w:r>
      <w:r>
        <w:rPr>
          <w:rFonts w:hint="eastAsia" w:ascii="Arial" w:hAnsi="Arial"/>
        </w:rPr>
        <w:t>设计</w:t>
      </w:r>
    </w:p>
    <w:p w14:paraId="41D34A25">
      <w:pPr>
        <w:pStyle w:val="4"/>
        <w:numPr>
          <w:numId w:val="0"/>
        </w:numPr>
        <w:bidi w:val="0"/>
        <w:ind w:left="0" w:leftChars="0" w:firstLine="0" w:firstLineChars="0"/>
        <w:rPr>
          <w:rFonts w:hint="default"/>
          <w:lang w:val="en-US" w:eastAsia="zh-CN"/>
        </w:rPr>
      </w:pPr>
      <w:r>
        <w:rPr>
          <w:rFonts w:hint="default" w:ascii="宋体" w:hAnsi="宋体" w:eastAsia="宋体" w:cs="宋体"/>
          <w:b/>
          <w:kern w:val="2"/>
          <w:sz w:val="32"/>
          <w:szCs w:val="30"/>
          <w:lang w:val="en-US" w:eastAsia="zh-CN" w:bidi="ar-SA"/>
        </w:rPr>
        <w:t>3.1.</w:t>
      </w:r>
      <w:r>
        <w:rPr>
          <w:rFonts w:hint="eastAsia"/>
          <w:lang w:val="en-US" w:eastAsia="zh-CN"/>
        </w:rPr>
        <w:t>设备选型</w:t>
      </w:r>
    </w:p>
    <w:p w14:paraId="419141F6">
      <w:pPr>
        <w:bidi w:val="0"/>
        <w:rPr>
          <w:rFonts w:hint="eastAsia"/>
        </w:rPr>
      </w:pPr>
      <w:r>
        <w:rPr>
          <w:rFonts w:hint="eastAsia"/>
        </w:rPr>
        <w:t xml:space="preserve"> </w:t>
      </w:r>
      <w:r>
        <w:rPr>
          <w:rFonts w:hint="eastAsia"/>
          <w:lang w:eastAsia="zh-CN"/>
        </w:rPr>
        <w:t>华存TGStor Galaxy系列分布式存储</w:t>
      </w:r>
      <w:r>
        <w:rPr>
          <w:rFonts w:hint="eastAsia"/>
        </w:rPr>
        <w:t xml:space="preserve"> 系列海量存储系统，是</w:t>
      </w:r>
      <w:r>
        <w:rPr>
          <w:rFonts w:hint="eastAsia"/>
          <w:lang w:val="en-US" w:eastAsia="zh-CN"/>
        </w:rPr>
        <w:t>华存智谷科技</w:t>
      </w:r>
      <w:r>
        <w:rPr>
          <w:rFonts w:hint="eastAsia"/>
        </w:rPr>
        <w:t>有限公司自主研发的新一代商业分布式存储系统。</w:t>
      </w:r>
      <w:r>
        <w:rPr>
          <w:rFonts w:hint="eastAsia"/>
          <w:lang w:eastAsia="zh-CN"/>
        </w:rPr>
        <w:t>华存TGStor Galaxy系列分布式存储</w:t>
      </w:r>
      <w:r>
        <w:rPr>
          <w:rFonts w:hint="eastAsia"/>
        </w:rPr>
        <w:t xml:space="preserve"> 支持x86架构与ARM架构CPU，搭载自主开发的国产的XOS操作系统，在一个平台同时支持块、文件、对象与HDFS存储能力，最大支持</w:t>
      </w:r>
      <w:r>
        <w:rPr>
          <w:rFonts w:hint="eastAsia"/>
          <w:lang w:eastAsia="zh-CN"/>
        </w:rPr>
        <w:t>4096</w:t>
      </w:r>
      <w:r>
        <w:rPr>
          <w:rFonts w:hint="eastAsia"/>
        </w:rPr>
        <w:t xml:space="preserve"> 个节点的横向扩展，单一命名空间支持EB级容量，系统的性能和容量随节点数增加呈线性增长。</w:t>
      </w:r>
      <w:r>
        <w:rPr>
          <w:rFonts w:hint="eastAsia"/>
          <w:lang w:eastAsia="zh-CN"/>
        </w:rPr>
        <w:t>华存TGStor Galaxy系列分布式存储</w:t>
      </w:r>
      <w:r>
        <w:rPr>
          <w:rFonts w:hint="eastAsia"/>
        </w:rPr>
        <w:t xml:space="preserve"> 拥有高性能、高扩展、高可靠、易管理维护等特性，广泛适用于云计算、虚拟化、数据库、文件共享、票据影像、HPC、归档备份、裸盘映射、高并发等场景，面向政府、金融、企业、运营商、广电、教育、医疗、交通、能源等各行业用户提供海量存储资源池。</w:t>
      </w:r>
    </w:p>
    <w:p w14:paraId="5D94DF16">
      <w:pPr>
        <w:pStyle w:val="2"/>
      </w:pPr>
      <w:r>
        <w:rPr>
          <w:rFonts w:hint="eastAsia"/>
          <w:lang w:val="en-US" w:eastAsia="zh-CN"/>
        </w:rPr>
        <w:t>此次项目采用</w:t>
      </w:r>
      <w:r>
        <w:rPr>
          <w:rFonts w:hint="eastAsia"/>
          <w:lang w:eastAsia="zh-CN"/>
        </w:rPr>
        <w:t>华存TGStor Galaxy系列</w:t>
      </w:r>
      <w:r>
        <w:rPr>
          <w:rFonts w:hint="eastAsia"/>
          <w:lang w:val="en-US" w:eastAsia="zh-CN"/>
        </w:rPr>
        <w:t>。</w:t>
      </w:r>
    </w:p>
    <w:p w14:paraId="4FC7F31D">
      <w:pPr>
        <w:bidi w:val="0"/>
        <w:rPr>
          <w:rFonts w:hint="eastAsia"/>
        </w:rPr>
      </w:pPr>
      <w:r>
        <w:rPr>
          <w:rFonts w:hint="eastAsia"/>
        </w:rPr>
        <w:t xml:space="preserve"> </w:t>
      </w:r>
      <w:r>
        <w:rPr>
          <w:rFonts w:hint="eastAsia"/>
          <w:lang w:eastAsia="zh-CN"/>
        </w:rPr>
        <w:t>华存TGStor Galaxy系列</w:t>
      </w:r>
      <w:r>
        <w:rPr>
          <w:rFonts w:hint="eastAsia"/>
        </w:rPr>
        <w:t>采用分布式对称架构不需要单独的元数据服务器</w:t>
      </w:r>
    </w:p>
    <w:p w14:paraId="209EBDD2">
      <w:pPr>
        <w:bidi w:val="0"/>
        <w:rPr>
          <w:rFonts w:hint="eastAsia"/>
        </w:rPr>
      </w:pPr>
      <w:r>
        <w:rPr>
          <w:rFonts w:hint="eastAsia"/>
        </w:rPr>
        <w:t>分布式全局缓存，有效提高集群读写性能</w:t>
      </w:r>
    </w:p>
    <w:p w14:paraId="41555751">
      <w:pPr>
        <w:bidi w:val="0"/>
        <w:rPr>
          <w:rFonts w:hint="eastAsia"/>
        </w:rPr>
      </w:pPr>
      <w:r>
        <w:rPr>
          <w:rFonts w:hint="eastAsia"/>
        </w:rPr>
        <w:t>支持Intel芯片平台、</w:t>
      </w:r>
      <w:r>
        <w:rPr>
          <w:rFonts w:hint="eastAsia"/>
          <w:lang w:eastAsia="zh-CN"/>
        </w:rPr>
        <w:t>鲲鹏</w:t>
      </w:r>
      <w:r>
        <w:rPr>
          <w:rFonts w:hint="eastAsia"/>
        </w:rPr>
        <w:t>芯片平台</w:t>
      </w:r>
    </w:p>
    <w:p w14:paraId="5462DE0F">
      <w:pPr>
        <w:bidi w:val="0"/>
        <w:rPr>
          <w:rFonts w:hint="eastAsia"/>
        </w:rPr>
      </w:pPr>
      <w:r>
        <w:rPr>
          <w:rFonts w:hint="eastAsia"/>
        </w:rPr>
        <w:t>强大的线性扩展能力</w:t>
      </w:r>
    </w:p>
    <w:p w14:paraId="55D77A09">
      <w:pPr>
        <w:bidi w:val="0"/>
        <w:rPr>
          <w:rFonts w:hint="eastAsia"/>
        </w:rPr>
      </w:pPr>
      <w:r>
        <w:rPr>
          <w:rFonts w:hint="eastAsia"/>
        </w:rPr>
        <w:t>最大横向扩展至</w:t>
      </w:r>
      <w:r>
        <w:rPr>
          <w:rFonts w:hint="eastAsia"/>
          <w:lang w:val="en-US" w:eastAsia="zh-CN"/>
        </w:rPr>
        <w:t>4096</w:t>
      </w:r>
      <w:r>
        <w:rPr>
          <w:rFonts w:hint="eastAsia"/>
        </w:rPr>
        <w:t>个节点，支撑业务灵活发展</w:t>
      </w:r>
    </w:p>
    <w:p w14:paraId="3A4E257C">
      <w:pPr>
        <w:bidi w:val="0"/>
        <w:rPr>
          <w:rFonts w:hint="eastAsia"/>
        </w:rPr>
      </w:pPr>
      <w:r>
        <w:rPr>
          <w:rFonts w:hint="eastAsia"/>
        </w:rPr>
        <w:t>性能和容量随节点数和集群规模线性增长</w:t>
      </w:r>
    </w:p>
    <w:p w14:paraId="6C0B16DB">
      <w:pPr>
        <w:bidi w:val="0"/>
        <w:rPr>
          <w:rFonts w:hint="eastAsia"/>
        </w:rPr>
      </w:pPr>
      <w:r>
        <w:rPr>
          <w:rFonts w:hint="eastAsia"/>
        </w:rPr>
        <w:t>大批量处理能力，提供相应API接口，满足大量文件、文件夹同时上传、下载使用的场景业务需求</w:t>
      </w:r>
    </w:p>
    <w:p w14:paraId="4A1D75A1">
      <w:pPr>
        <w:pStyle w:val="5"/>
        <w:numPr>
          <w:numId w:val="0"/>
        </w:numPr>
        <w:bidi w:val="0"/>
        <w:ind w:left="0" w:leftChars="0" w:firstLine="0" w:firstLineChars="0"/>
        <w:rPr>
          <w:rFonts w:hint="eastAsia"/>
        </w:rPr>
      </w:pPr>
      <w:r>
        <w:rPr>
          <w:rFonts w:hint="default" w:ascii="宋体" w:hAnsi="宋体" w:eastAsia="宋体" w:cs="宋体"/>
          <w:b/>
          <w:kern w:val="2"/>
          <w:sz w:val="30"/>
          <w:szCs w:val="30"/>
          <w:lang w:val="en-US" w:eastAsia="zh-CN" w:bidi="ar-SA"/>
        </w:rPr>
        <w:t>3.1.1.</w:t>
      </w:r>
      <w:r>
        <w:rPr>
          <w:rFonts w:hint="eastAsia"/>
        </w:rPr>
        <w:t>高可靠</w:t>
      </w:r>
    </w:p>
    <w:p w14:paraId="6D7F2FFA">
      <w:pPr>
        <w:bidi w:val="0"/>
        <w:rPr>
          <w:rFonts w:hint="eastAsia"/>
        </w:rPr>
      </w:pPr>
      <w:r>
        <w:rPr>
          <w:rFonts w:hint="eastAsia"/>
        </w:rPr>
        <w:t>多副本保证数据可靠性，支持2-8个副本灵活配置，比如三副本只有3份数据同时丢失时用户数据才会真正丢失</w:t>
      </w:r>
    </w:p>
    <w:p w14:paraId="5EA7BB8F">
      <w:pPr>
        <w:bidi w:val="0"/>
        <w:rPr>
          <w:rFonts w:hint="eastAsia"/>
        </w:rPr>
      </w:pPr>
      <w:r>
        <w:rPr>
          <w:rFonts w:hint="eastAsia"/>
        </w:rPr>
        <w:t>支持N+1到N+4的不同纠删码级别，可基于资源池和目录设置，节点故障时支持自动调整EC配比</w:t>
      </w:r>
    </w:p>
    <w:p w14:paraId="408696E5">
      <w:pPr>
        <w:bidi w:val="0"/>
        <w:rPr>
          <w:rFonts w:hint="eastAsia"/>
        </w:rPr>
      </w:pPr>
      <w:r>
        <w:rPr>
          <w:rFonts w:hint="eastAsia"/>
        </w:rPr>
        <w:t>全面的数据保护和容灾能力，支持复制、快照、克隆、拷贝、故障域、保护域等技术数据可靠性高达11个9</w:t>
      </w:r>
    </w:p>
    <w:p w14:paraId="46CF6FE6">
      <w:pPr>
        <w:pStyle w:val="5"/>
        <w:numPr>
          <w:numId w:val="0"/>
        </w:numPr>
        <w:bidi w:val="0"/>
        <w:ind w:left="0" w:leftChars="0" w:firstLine="0" w:firstLineChars="0"/>
        <w:rPr>
          <w:rFonts w:hint="eastAsia"/>
        </w:rPr>
      </w:pPr>
      <w:r>
        <w:rPr>
          <w:rFonts w:hint="default" w:ascii="宋体" w:hAnsi="宋体" w:eastAsia="宋体" w:cs="宋体"/>
          <w:b/>
          <w:kern w:val="2"/>
          <w:sz w:val="30"/>
          <w:szCs w:val="30"/>
          <w:lang w:val="en-US" w:eastAsia="zh-CN" w:bidi="ar-SA"/>
        </w:rPr>
        <w:t>3.1.2.</w:t>
      </w:r>
      <w:r>
        <w:rPr>
          <w:rFonts w:hint="eastAsia"/>
        </w:rPr>
        <w:t>高可用</w:t>
      </w:r>
    </w:p>
    <w:p w14:paraId="50C49902">
      <w:pPr>
        <w:bidi w:val="0"/>
        <w:rPr>
          <w:rFonts w:hint="eastAsia"/>
        </w:rPr>
      </w:pPr>
      <w:r>
        <w:rPr>
          <w:rFonts w:hint="eastAsia"/>
        </w:rPr>
        <w:t>采用完全冗余组网，无单点故障，硬盘或节点损坏时保证业务不中断、应用无感知</w:t>
      </w:r>
    </w:p>
    <w:p w14:paraId="057B5A95">
      <w:pPr>
        <w:bidi w:val="0"/>
        <w:rPr>
          <w:rFonts w:hint="eastAsia"/>
        </w:rPr>
      </w:pPr>
      <w:r>
        <w:rPr>
          <w:rFonts w:hint="eastAsia"/>
        </w:rPr>
        <w:t>硬盘或节点故障时自动重构，可调整重构优先级</w:t>
      </w:r>
    </w:p>
    <w:p w14:paraId="0D4E2A7F">
      <w:pPr>
        <w:bidi w:val="0"/>
        <w:rPr>
          <w:rFonts w:hint="eastAsia"/>
        </w:rPr>
      </w:pPr>
      <w:r>
        <w:rPr>
          <w:rFonts w:hint="eastAsia"/>
        </w:rPr>
        <w:t>支持在线不停机扩容，增加，升级或删除节点、硬盘不影响业务正常运行，支持集群自动数据均衡</w:t>
      </w:r>
    </w:p>
    <w:p w14:paraId="3CDE84E9">
      <w:pPr>
        <w:pStyle w:val="5"/>
        <w:numPr>
          <w:numId w:val="0"/>
        </w:numPr>
        <w:bidi w:val="0"/>
        <w:ind w:left="0" w:leftChars="0" w:firstLine="0" w:firstLineChars="0"/>
        <w:rPr>
          <w:rFonts w:hint="eastAsia"/>
        </w:rPr>
      </w:pPr>
      <w:r>
        <w:rPr>
          <w:rFonts w:hint="default" w:ascii="宋体" w:hAnsi="宋体" w:eastAsia="宋体" w:cs="宋体"/>
          <w:b/>
          <w:kern w:val="2"/>
          <w:sz w:val="30"/>
          <w:szCs w:val="30"/>
          <w:lang w:val="en-US" w:eastAsia="zh-CN" w:bidi="ar-SA"/>
        </w:rPr>
        <w:t>3.1.3.</w:t>
      </w:r>
      <w:r>
        <w:rPr>
          <w:rFonts w:hint="eastAsia"/>
        </w:rPr>
        <w:t>易</w:t>
      </w:r>
      <w:r>
        <w:rPr>
          <w:rFonts w:hint="eastAsia" w:ascii="Arial" w:hAnsi="Arial"/>
        </w:rPr>
        <w:t>维护</w:t>
      </w:r>
    </w:p>
    <w:p w14:paraId="2FF761F1">
      <w:pPr>
        <w:bidi w:val="0"/>
        <w:rPr>
          <w:rFonts w:hint="eastAsia"/>
        </w:rPr>
      </w:pPr>
      <w:r>
        <w:rPr>
          <w:rFonts w:hint="eastAsia"/>
        </w:rPr>
        <w:t>集群快速部署，支持批量部署、配置引导、一键升级</w:t>
      </w:r>
    </w:p>
    <w:p w14:paraId="5098352E">
      <w:pPr>
        <w:bidi w:val="0"/>
        <w:rPr>
          <w:rFonts w:hint="eastAsia"/>
        </w:rPr>
      </w:pPr>
      <w:r>
        <w:rPr>
          <w:rFonts w:hint="eastAsia"/>
        </w:rPr>
        <w:t>依托监控报警系统，快速界定问题、排查故障，允许用户定制数据分布策略，支持故障域隔离</w:t>
      </w:r>
    </w:p>
    <w:p w14:paraId="6963F8F8">
      <w:pPr>
        <w:bidi w:val="0"/>
        <w:rPr>
          <w:rFonts w:hint="eastAsia"/>
        </w:rPr>
      </w:pPr>
      <w:r>
        <w:rPr>
          <w:rFonts w:hint="eastAsia"/>
        </w:rPr>
        <w:t>自动检测性能异常节点，触发告警并自动通知管理人员</w:t>
      </w:r>
    </w:p>
    <w:p w14:paraId="14792403">
      <w:pPr>
        <w:pStyle w:val="5"/>
        <w:numPr>
          <w:numId w:val="0"/>
        </w:numPr>
        <w:bidi w:val="0"/>
        <w:ind w:left="0" w:leftChars="0" w:firstLine="0" w:firstLineChars="0"/>
        <w:rPr>
          <w:rFonts w:hint="eastAsia"/>
        </w:rPr>
      </w:pPr>
      <w:r>
        <w:rPr>
          <w:rFonts w:hint="default" w:ascii="宋体" w:hAnsi="宋体" w:eastAsia="宋体" w:cs="宋体"/>
          <w:b/>
          <w:kern w:val="2"/>
          <w:sz w:val="30"/>
          <w:szCs w:val="30"/>
          <w:lang w:val="en-US" w:eastAsia="zh-CN" w:bidi="ar-SA"/>
        </w:rPr>
        <w:t>3.1.4.</w:t>
      </w:r>
      <w:r>
        <w:rPr>
          <w:rFonts w:hint="eastAsia"/>
        </w:rPr>
        <w:t>易</w:t>
      </w:r>
      <w:r>
        <w:rPr>
          <w:rFonts w:hint="eastAsia" w:ascii="Arial" w:hAnsi="Arial"/>
        </w:rPr>
        <w:t>管理</w:t>
      </w:r>
    </w:p>
    <w:p w14:paraId="36C7A280">
      <w:pPr>
        <w:bidi w:val="0"/>
        <w:rPr>
          <w:rFonts w:hint="eastAsia"/>
        </w:rPr>
      </w:pPr>
      <w:r>
        <w:rPr>
          <w:rFonts w:hint="eastAsia"/>
        </w:rPr>
        <w:t>中文可视化操作管理平台，同时支持IPv4和IPv6接入</w:t>
      </w:r>
    </w:p>
    <w:p w14:paraId="4CFC4368">
      <w:pPr>
        <w:bidi w:val="0"/>
        <w:rPr>
          <w:rFonts w:hint="eastAsia"/>
        </w:rPr>
      </w:pPr>
      <w:r>
        <w:rPr>
          <w:rFonts w:hint="eastAsia"/>
        </w:rPr>
        <w:t>智能监控集群的性能和健康指标并设置告警，方便用户了解系统状态</w:t>
      </w:r>
    </w:p>
    <w:p w14:paraId="31DD2D64">
      <w:pPr>
        <w:bidi w:val="0"/>
        <w:rPr>
          <w:rFonts w:hint="eastAsia"/>
        </w:rPr>
      </w:pPr>
      <w:r>
        <w:rPr>
          <w:rFonts w:hint="eastAsia"/>
        </w:rPr>
        <w:t>支持日志和用户统计，可以按文件系统、资源情况的统计，支持系统容量和性能的预测分析理硬件进行读写</w:t>
      </w:r>
    </w:p>
    <w:p w14:paraId="50A7051C">
      <w:pPr>
        <w:pStyle w:val="5"/>
        <w:numPr>
          <w:numId w:val="0"/>
        </w:numPr>
        <w:bidi w:val="0"/>
        <w:ind w:left="0" w:leftChars="0" w:firstLine="0" w:firstLineChars="0"/>
        <w:rPr>
          <w:rFonts w:hint="eastAsia"/>
          <w:lang w:val="en-US" w:eastAsia="zh-CN"/>
        </w:rPr>
      </w:pPr>
      <w:r>
        <w:rPr>
          <w:rFonts w:hint="default" w:ascii="宋体" w:hAnsi="宋体" w:eastAsia="宋体" w:cs="宋体"/>
          <w:b/>
          <w:kern w:val="2"/>
          <w:sz w:val="30"/>
          <w:szCs w:val="30"/>
          <w:lang w:val="en-US" w:eastAsia="zh-CN" w:bidi="ar-SA"/>
        </w:rPr>
        <w:t>3.1.5.</w:t>
      </w:r>
      <w:r>
        <w:rPr>
          <w:rFonts w:hint="eastAsia"/>
          <w:lang w:val="en-US" w:eastAsia="zh-CN"/>
        </w:rPr>
        <w:t>设备描述</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99"/>
        <w:gridCol w:w="7020"/>
      </w:tblGrid>
      <w:tr w14:paraId="02589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754B46B">
            <w:pPr>
              <w:keepNext w:val="0"/>
              <w:keepLines w:val="0"/>
              <w:pageBreakBefore w:val="0"/>
              <w:widowControl w:val="0"/>
              <w:kinsoku/>
              <w:wordWrap/>
              <w:overflowPunct/>
              <w:topLinePunct w:val="0"/>
              <w:autoSpaceDE/>
              <w:autoSpaceDN/>
              <w:bidi w:val="0"/>
              <w:adjustRightInd/>
              <w:snapToGrid/>
              <w:ind w:firstLine="0" w:firstLineChars="0"/>
              <w:textAlignment w:val="auto"/>
            </w:pPr>
            <w:r>
              <w:rPr>
                <w:lang w:val="en-US" w:eastAsia="zh-CN"/>
              </w:rPr>
              <w:t>描述</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BBF856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rFonts w:hint="eastAsia"/>
                <w:lang w:val="en-US" w:eastAsia="zh-CN"/>
              </w:rPr>
              <w:t>华存TGStor Galaxy系列</w:t>
            </w:r>
            <w:r>
              <w:rPr>
                <w:lang w:val="en-US" w:eastAsia="zh-CN"/>
              </w:rPr>
              <w:t>分布式存储</w:t>
            </w:r>
          </w:p>
        </w:tc>
      </w:tr>
      <w:tr w14:paraId="7D8E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5E87C5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系统架构</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A7F0B6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全对称分布式架构</w:t>
            </w:r>
          </w:p>
        </w:tc>
      </w:tr>
      <w:tr w14:paraId="6A5F9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A510CE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节点扩展</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2E0D67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支持横向扩展</w:t>
            </w:r>
            <w:r>
              <w:rPr>
                <w:rFonts w:hint="eastAsia"/>
                <w:lang w:val="en-US" w:eastAsia="zh-CN"/>
              </w:rPr>
              <w:t>4096</w:t>
            </w:r>
            <w:r>
              <w:rPr>
                <w:lang w:val="en-US" w:eastAsia="zh-CN"/>
              </w:rPr>
              <w:t>个节点</w:t>
            </w:r>
          </w:p>
        </w:tc>
      </w:tr>
      <w:tr w14:paraId="76565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D1EFCC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CPU/节点</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150A7C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2颗Intel Cascade/Ice Lake CPU或1~2颗</w:t>
            </w:r>
            <w:r>
              <w:rPr>
                <w:rFonts w:hint="eastAsia"/>
                <w:lang w:val="en-US" w:eastAsia="zh-CN"/>
              </w:rPr>
              <w:t>鲲鹏</w:t>
            </w:r>
            <w:r>
              <w:rPr>
                <w:lang w:val="en-US" w:eastAsia="zh-CN"/>
              </w:rPr>
              <w:t>CPU</w:t>
            </w:r>
          </w:p>
        </w:tc>
      </w:tr>
      <w:tr w14:paraId="2CA9B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4B6043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SCM/节点</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4CC007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支持数据中心级持久内存</w:t>
            </w:r>
          </w:p>
        </w:tc>
      </w:tr>
      <w:tr w14:paraId="77EA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0F55A3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缓存/节点</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C29831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最大支持1.5TB内存</w:t>
            </w:r>
          </w:p>
        </w:tc>
      </w:tr>
      <w:tr w14:paraId="3750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C71800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支持硬盘类型</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141228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NVMe SSD、SATA SSD、SATA HDD、SAS HDD</w:t>
            </w:r>
          </w:p>
        </w:tc>
      </w:tr>
      <w:tr w14:paraId="20443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25FA26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前端网络类型</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F871E2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1G/10G/25G/100G 以太网、100G InfiniBand网络</w:t>
            </w:r>
          </w:p>
        </w:tc>
      </w:tr>
      <w:tr w14:paraId="577B4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40BA88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内部互联网络类型</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37F905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10G/25G以太网</w:t>
            </w:r>
          </w:p>
        </w:tc>
      </w:tr>
      <w:tr w14:paraId="5F4B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C2C3A7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单一命名空间容量</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D40600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EB级</w:t>
            </w:r>
          </w:p>
        </w:tc>
      </w:tr>
      <w:tr w14:paraId="0FBFF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B73F92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支持存储类型</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6BFD20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块存储、文件存储、对象存储、大数据</w:t>
            </w:r>
          </w:p>
        </w:tc>
      </w:tr>
      <w:tr w14:paraId="6D59E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E59C66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支持存储协议</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651F42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iSCSI，NFS, CIFS，FTP，HTTP，HDFS，POSIX，MPI-IO，S3，Swift等，支持CSI接口，支持HTTP、FTP、CIFS，NFS，S3等多种协议互通</w:t>
            </w:r>
          </w:p>
        </w:tc>
      </w:tr>
      <w:tr w14:paraId="651C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B8B3B8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数据冗余保护</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8CF234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2-8个副本，N+1到N+4纠删码</w:t>
            </w:r>
          </w:p>
        </w:tc>
      </w:tr>
      <w:tr w14:paraId="5286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D2993D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每TB数据重构时间</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756D6E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＜15分钟</w:t>
            </w:r>
          </w:p>
        </w:tc>
      </w:tr>
      <w:tr w14:paraId="44A0A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89D3E1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高可用</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A331F7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节点高可用、端口高可用、网络高可用、管理高可用</w:t>
            </w:r>
          </w:p>
        </w:tc>
      </w:tr>
      <w:tr w14:paraId="7E902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07AB8B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软件功能</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A3BF0C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精简配置、厚配置、链路聚合、多路径、数据自动均衡、智能负载均衡、性能Qos、数据重构QoS、故障域、保护域、SSD缓存加速、卷拷贝、克隆、自动分层、数据一致性校验、安全认证、安全关机、数据加密、主机漏洞扫描、自动修复静默数据损坏、AI容量和性能预测、WORM、权限管理、配额管理、硬链接、视频智能容错、多版本管理、分段上传、配额、ACL权限控制、Policy策略、自定义标签、对象加密、对象追加修改、多租户、跨域访问、公有云对接，自适应纠删码等</w:t>
            </w:r>
          </w:p>
        </w:tc>
      </w:tr>
      <w:tr w14:paraId="05380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0109C9C">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块增值特性</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2F6A33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卷拷贝、卷迁移、链路管理、远程异步复制、纠删码、快照、QOS</w:t>
            </w:r>
          </w:p>
        </w:tc>
      </w:tr>
      <w:tr w14:paraId="70F2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CF6DDA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文件增值特性</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645F8C8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分级存储、快照、回收站、负载均衡（高级）、QOS</w:t>
            </w:r>
          </w:p>
        </w:tc>
      </w:tr>
      <w:tr w14:paraId="0A25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B773B8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对象增值特性</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757F2691">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对象异步复制，生命周期管理</w:t>
            </w:r>
          </w:p>
        </w:tc>
      </w:tr>
      <w:tr w14:paraId="58560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C8EAEB0">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兼容性</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CBDB428">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兼容POSIX标准接口，Windows、Linux、UNIX、Mac OS、Vmware ESXi等操作系统，KVM、vSphere、Xen、Hyper-V等虚拟化平台，兼容Oracle、SQL Server、MySQL等数据库，兼容OpenStack和 CloudOS平台</w:t>
            </w:r>
          </w:p>
        </w:tc>
      </w:tr>
      <w:tr w14:paraId="3FB0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3F85F624">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集群管理</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0A1B3D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支持日志管理、用户管理、分权分域、磁盘SMART检测、慢盘检测、网络管理、告警和故障管理、容量和性能管理，支持节点的在线扩容、缩容，支持SNMP协议和第三方网管平台，支持通用短信平台告警，支持AI运维，支持日志的备份和导出</w:t>
            </w:r>
          </w:p>
        </w:tc>
      </w:tr>
      <w:tr w14:paraId="5F2C7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576B4F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网络检测</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1C26328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网络出现丢包、错包、网络时延大、网口协商降速等现象时提供故障告警并隔离</w:t>
            </w:r>
          </w:p>
        </w:tc>
      </w:tr>
      <w:tr w14:paraId="29D96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59B0D79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管理方式</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2B98AB4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中文图形化界面，Web浏览器或CLI管理</w:t>
            </w:r>
          </w:p>
        </w:tc>
      </w:tr>
      <w:tr w14:paraId="39407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476816DA">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环境温度</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2E8B589">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工作：5℃～35℃，单风扇失效时，最高支持30℃ 贮存 -40℃～70℃</w:t>
            </w:r>
          </w:p>
        </w:tc>
      </w:tr>
      <w:tr w14:paraId="07CE3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880"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C6BDF2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环境湿度</w:t>
            </w:r>
          </w:p>
        </w:tc>
        <w:tc>
          <w:tcPr>
            <w:tcW w:w="4119" w:type="pct"/>
            <w:tcBorders>
              <w:top w:val="single" w:color="000000" w:sz="4" w:space="0"/>
              <w:left w:val="single" w:color="000000" w:sz="4" w:space="0"/>
              <w:bottom w:val="single" w:color="000000" w:sz="4" w:space="0"/>
              <w:right w:val="single" w:color="000000" w:sz="4" w:space="0"/>
            </w:tcBorders>
            <w:shd w:val="clear" w:color="auto" w:fill="FFFFFF"/>
            <w:vAlign w:val="bottom"/>
          </w:tcPr>
          <w:p w14:paraId="032B9AD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rPr>
            </w:pPr>
            <w:r>
              <w:rPr>
                <w:lang w:val="en-US" w:eastAsia="zh-CN"/>
              </w:rPr>
              <w:t>工作 8%～90%（无冷凝），贮存 5%～95%（无冷凝）</w:t>
            </w:r>
          </w:p>
        </w:tc>
      </w:tr>
    </w:tbl>
    <w:p w14:paraId="2C2F436A">
      <w:pPr>
        <w:pStyle w:val="4"/>
        <w:numPr>
          <w:numId w:val="0"/>
        </w:numPr>
        <w:bidi w:val="0"/>
        <w:ind w:left="0" w:leftChars="0" w:firstLine="0" w:firstLineChars="0"/>
        <w:rPr>
          <w:rFonts w:hint="default"/>
          <w:lang w:val="en-US" w:eastAsia="zh-CN"/>
        </w:rPr>
      </w:pPr>
      <w:r>
        <w:rPr>
          <w:rFonts w:hint="default" w:ascii="宋体" w:hAnsi="宋体" w:eastAsia="宋体" w:cs="宋体"/>
          <w:b/>
          <w:kern w:val="2"/>
          <w:sz w:val="32"/>
          <w:szCs w:val="30"/>
          <w:lang w:val="en-US" w:eastAsia="zh-CN" w:bidi="ar-SA"/>
        </w:rPr>
        <w:t>3.2.</w:t>
      </w:r>
      <w:r>
        <w:rPr>
          <w:rFonts w:hint="eastAsia"/>
          <w:lang w:val="en-US" w:eastAsia="zh-CN"/>
        </w:rPr>
        <w:t>TGStor Galaxy分布式存储</w:t>
      </w:r>
    </w:p>
    <w:p w14:paraId="2FA9A52C">
      <w:pPr>
        <w:pStyle w:val="5"/>
        <w:numPr>
          <w:numId w:val="0"/>
        </w:numPr>
        <w:bidi w:val="0"/>
        <w:ind w:left="0" w:leftChars="0" w:firstLine="0" w:firstLineChars="0"/>
        <w:rPr>
          <w:rFonts w:hint="default"/>
        </w:rPr>
      </w:pPr>
      <w:bookmarkStart w:id="0" w:name="_Toc136011385"/>
      <w:r>
        <w:rPr>
          <w:rFonts w:hint="default" w:ascii="宋体" w:hAnsi="宋体" w:eastAsia="宋体" w:cs="宋体"/>
          <w:b/>
          <w:kern w:val="2"/>
          <w:sz w:val="30"/>
          <w:szCs w:val="30"/>
          <w:lang w:val="en-US" w:eastAsia="zh-CN" w:bidi="ar-SA"/>
        </w:rPr>
        <w:t>3.2.1.</w:t>
      </w:r>
      <w:r>
        <w:rPr>
          <w:rFonts w:hint="default"/>
        </w:rPr>
        <w:t>产生背景</w:t>
      </w:r>
      <w:bookmarkEnd w:id="0"/>
    </w:p>
    <w:p w14:paraId="556C7254">
      <w:pPr>
        <w:bidi w:val="0"/>
        <w:rPr>
          <w:rFonts w:hint="default"/>
        </w:rPr>
      </w:pPr>
      <w:r>
        <w:rPr>
          <w:lang w:val="en-US" w:eastAsia="zh-CN"/>
        </w:rPr>
        <w:t>面对日益增长的数据量，用户对在线存储的容量要求越来越高。即使在存储介质不断降价的背景下，为了保证服务质量、提高存取速度，所需的存储成本依然高昂。为了满足存储容量、存储性能和存储成本的三重需求，文件分级存储技术应运而生。</w:t>
      </w:r>
    </w:p>
    <w:p w14:paraId="3046D5C2">
      <w:pPr>
        <w:bidi w:val="0"/>
        <w:rPr>
          <w:rFonts w:hint="default"/>
        </w:rPr>
      </w:pPr>
      <w:r>
        <w:rPr>
          <w:rFonts w:hint="eastAsia"/>
          <w:lang w:val="en-US" w:eastAsia="zh-CN"/>
        </w:rPr>
        <w:t>文件分级存储技术可自动将更新、访问更频繁的文件数据存储于性能更高、价格更昂贵的存储设备中，将更老、不常访问的文件数据存储于性能和价格较低的大容量存储设备中。通过将不同的数据存储于不同性能的存储设备，实现对数据生命周期的有效管理，同时大大降低海量数据存储场景下的存储成本和数据管理难度。</w:t>
      </w:r>
    </w:p>
    <w:p w14:paraId="30ED2B9D">
      <w:pPr>
        <w:bidi w:val="0"/>
        <w:rPr>
          <w:rFonts w:hint="default"/>
        </w:rPr>
      </w:pPr>
      <w:r>
        <w:rPr>
          <w:rFonts w:hint="eastAsia"/>
          <w:lang w:val="en-US" w:eastAsia="zh-CN"/>
        </w:rPr>
        <w:t>文件分级存储技术主要具备以下优点：</w:t>
      </w:r>
    </w:p>
    <w:p w14:paraId="679D7909">
      <w:pPr>
        <w:bidi w:val="0"/>
        <w:rPr>
          <w:rFonts w:hint="default"/>
        </w:rPr>
      </w:pPr>
      <w:r>
        <w:rPr>
          <w:rFonts w:hint="default"/>
          <w:lang w:val="en-US"/>
        </w:rPr>
        <w:t>自动</w:t>
      </w:r>
      <w:r>
        <w:rPr>
          <w:rFonts w:hint="default"/>
        </w:rPr>
        <w:t>将文件</w:t>
      </w:r>
      <w:r>
        <w:rPr>
          <w:rFonts w:hint="default"/>
          <w:lang w:val="en-US"/>
        </w:rPr>
        <w:t>数据迁移</w:t>
      </w:r>
      <w:r>
        <w:rPr>
          <w:rFonts w:hint="default"/>
        </w:rPr>
        <w:t>至合适的存储设备中</w:t>
      </w:r>
      <w:r>
        <w:rPr>
          <w:rFonts w:hint="default"/>
          <w:lang w:val="en-US"/>
        </w:rPr>
        <w:t>，</w:t>
      </w:r>
      <w:r>
        <w:rPr>
          <w:rFonts w:hint="default"/>
        </w:rPr>
        <w:t>迁移过程对</w:t>
      </w:r>
      <w:r>
        <w:rPr>
          <w:rFonts w:hint="default"/>
          <w:lang w:val="en-US"/>
        </w:rPr>
        <w:t>应用程序</w:t>
      </w:r>
      <w:r>
        <w:rPr>
          <w:rFonts w:hint="default"/>
        </w:rPr>
        <w:t>和</w:t>
      </w:r>
      <w:r>
        <w:rPr>
          <w:rFonts w:hint="default"/>
          <w:lang w:val="en-US"/>
        </w:rPr>
        <w:t>用户</w:t>
      </w:r>
      <w:r>
        <w:rPr>
          <w:rFonts w:hint="default"/>
        </w:rPr>
        <w:t>透明，不影响数据的在线使用。</w:t>
      </w:r>
    </w:p>
    <w:p w14:paraId="6A74E84A">
      <w:pPr>
        <w:bidi w:val="0"/>
        <w:rPr>
          <w:rFonts w:hint="default"/>
        </w:rPr>
      </w:pPr>
      <w:r>
        <w:rPr>
          <w:rFonts w:hint="default"/>
          <w:lang w:val="en-US"/>
        </w:rPr>
        <w:t>以文件粒度进行</w:t>
      </w:r>
      <w:r>
        <w:rPr>
          <w:rFonts w:hint="default"/>
        </w:rPr>
        <w:t>分类和</w:t>
      </w:r>
      <w:r>
        <w:rPr>
          <w:rFonts w:hint="default"/>
          <w:lang w:val="en-US"/>
        </w:rPr>
        <w:t>迁移</w:t>
      </w:r>
      <w:r>
        <w:rPr>
          <w:rFonts w:hint="default"/>
        </w:rPr>
        <w:t>，便于文件数据的分类及管理。</w:t>
      </w:r>
    </w:p>
    <w:p w14:paraId="3D678371">
      <w:pPr>
        <w:bidi w:val="0"/>
        <w:rPr>
          <w:rFonts w:hint="default"/>
        </w:rPr>
      </w:pPr>
      <w:r>
        <w:rPr>
          <w:rFonts w:hint="default"/>
          <w:lang w:val="en-US"/>
        </w:rPr>
        <w:t>释放高级存储资源给更重要的</w:t>
      </w:r>
      <w:r>
        <w:rPr>
          <w:rFonts w:hint="default"/>
        </w:rPr>
        <w:t>文件</w:t>
      </w:r>
      <w:r>
        <w:rPr>
          <w:rFonts w:hint="default"/>
          <w:lang w:val="en-US"/>
        </w:rPr>
        <w:t>数据，提高存储</w:t>
      </w:r>
      <w:r>
        <w:rPr>
          <w:rFonts w:hint="default"/>
        </w:rPr>
        <w:t>的总体</w:t>
      </w:r>
      <w:r>
        <w:rPr>
          <w:rFonts w:hint="default"/>
          <w:lang w:val="en-US"/>
        </w:rPr>
        <w:t>性能和数据可用性</w:t>
      </w:r>
      <w:r>
        <w:rPr>
          <w:rFonts w:hint="default"/>
        </w:rPr>
        <w:t>。</w:t>
      </w:r>
    </w:p>
    <w:p w14:paraId="5929DC1E">
      <w:pPr>
        <w:bidi w:val="0"/>
        <w:rPr>
          <w:rFonts w:hint="default"/>
        </w:rPr>
      </w:pPr>
      <w:r>
        <w:rPr>
          <w:rFonts w:hint="default"/>
        </w:rPr>
        <w:t>满足用户对</w:t>
      </w:r>
      <w:r>
        <w:rPr>
          <w:rFonts w:hint="default"/>
          <w:lang w:val="en-US"/>
        </w:rPr>
        <w:t>存储</w:t>
      </w:r>
      <w:r>
        <w:rPr>
          <w:rFonts w:hint="default"/>
        </w:rPr>
        <w:t>性能</w:t>
      </w:r>
      <w:r>
        <w:rPr>
          <w:rFonts w:hint="default"/>
          <w:lang w:val="en-US"/>
        </w:rPr>
        <w:t>和</w:t>
      </w:r>
      <w:r>
        <w:rPr>
          <w:rFonts w:hint="default"/>
        </w:rPr>
        <w:t>存储容量的需求</w:t>
      </w:r>
      <w:r>
        <w:rPr>
          <w:rFonts w:hint="default"/>
          <w:lang w:val="en-US"/>
        </w:rPr>
        <w:t>，</w:t>
      </w:r>
      <w:r>
        <w:rPr>
          <w:rFonts w:hint="default"/>
        </w:rPr>
        <w:t>同时</w:t>
      </w:r>
      <w:r>
        <w:rPr>
          <w:rFonts w:hint="default"/>
          <w:lang w:val="en-US"/>
        </w:rPr>
        <w:t>降低存储</w:t>
      </w:r>
      <w:r>
        <w:rPr>
          <w:rFonts w:hint="default"/>
        </w:rPr>
        <w:t>的总体</w:t>
      </w:r>
      <w:r>
        <w:rPr>
          <w:rFonts w:hint="default"/>
          <w:lang w:val="en-US"/>
        </w:rPr>
        <w:t>成本</w:t>
      </w:r>
      <w:r>
        <w:rPr>
          <w:rFonts w:hint="default"/>
        </w:rPr>
        <w:t>，有效降低</w:t>
      </w:r>
      <w:r>
        <w:rPr>
          <w:rFonts w:hint="default"/>
          <w:lang w:val="en-US"/>
        </w:rPr>
        <w:t>TCO</w:t>
      </w:r>
      <w:r>
        <w:rPr>
          <w:rFonts w:hint="default"/>
        </w:rPr>
        <w:t>。</w:t>
      </w:r>
    </w:p>
    <w:p w14:paraId="5C2B907B">
      <w:pPr>
        <w:bidi w:val="0"/>
        <w:rPr>
          <w:rFonts w:hint="default"/>
        </w:rPr>
      </w:pPr>
      <w:r>
        <w:rPr>
          <w:rFonts w:hint="eastAsia"/>
          <w:lang w:val="en-US" w:eastAsia="zh-CN"/>
        </w:rPr>
        <w:t>除了上述优点之外，分布式存储所采用的文件分级存储技术还具备如下独特优势：</w:t>
      </w:r>
    </w:p>
    <w:p w14:paraId="390EB070">
      <w:pPr>
        <w:bidi w:val="0"/>
        <w:rPr>
          <w:rFonts w:hint="default"/>
        </w:rPr>
      </w:pPr>
      <w:r>
        <w:rPr>
          <w:rFonts w:hint="default"/>
        </w:rPr>
        <w:t>多级存储：用户可根据实际业务需求，对存储池和文件数据进行自定义分级，实现多级存储。</w:t>
      </w:r>
    </w:p>
    <w:p w14:paraId="0D994AF2">
      <w:pPr>
        <w:bidi w:val="0"/>
        <w:rPr>
          <w:rFonts w:hint="default"/>
        </w:rPr>
      </w:pPr>
      <w:r>
        <w:rPr>
          <w:rFonts w:hint="default"/>
          <w:lang w:val="en-US"/>
        </w:rPr>
        <w:t>配置</w:t>
      </w:r>
      <w:r>
        <w:rPr>
          <w:rFonts w:hint="default"/>
        </w:rPr>
        <w:t>灵活：用户可灵活配置分级依据及策略，并指定分级存储的工作时间，避开存储业务繁忙的时段。</w:t>
      </w:r>
    </w:p>
    <w:p w14:paraId="14D79338">
      <w:pPr>
        <w:bidi w:val="0"/>
        <w:rPr>
          <w:rFonts w:hint="default"/>
        </w:rPr>
      </w:pPr>
      <w:r>
        <w:rPr>
          <w:rFonts w:hint="default"/>
          <w:lang w:val="en-US"/>
        </w:rPr>
        <w:t>自动</w:t>
      </w:r>
      <w:r>
        <w:rPr>
          <w:rFonts w:hint="default"/>
        </w:rPr>
        <w:t>流控：存储系统可自动对文件分级存储进行流量控制，避免分级存储工作占用过多资源，影响存储业务的正常进行。</w:t>
      </w:r>
    </w:p>
    <w:p w14:paraId="76875D7A">
      <w:pPr>
        <w:bidi w:val="0"/>
      </w:pPr>
    </w:p>
    <w:p w14:paraId="5B44C4BE">
      <w:pPr>
        <w:pStyle w:val="5"/>
        <w:numPr>
          <w:numId w:val="0"/>
        </w:numPr>
        <w:bidi w:val="0"/>
        <w:ind w:left="0" w:leftChars="0" w:firstLine="0" w:firstLineChars="0"/>
        <w:rPr>
          <w:rFonts w:hint="default"/>
        </w:rPr>
      </w:pPr>
      <w:bookmarkStart w:id="1" w:name="_Toc136011387"/>
      <w:r>
        <w:rPr>
          <w:rFonts w:hint="default" w:ascii="宋体" w:hAnsi="宋体" w:eastAsia="宋体" w:cs="宋体"/>
          <w:b/>
          <w:kern w:val="2"/>
          <w:sz w:val="30"/>
          <w:szCs w:val="30"/>
          <w:lang w:val="en-US" w:eastAsia="zh-CN" w:bidi="ar-SA"/>
        </w:rPr>
        <w:t>3.2.2.</w:t>
      </w:r>
      <w:r>
        <w:rPr>
          <w:rFonts w:hint="default"/>
        </w:rPr>
        <w:t>文件分级存储</w:t>
      </w:r>
      <w:r>
        <w:rPr>
          <w:rFonts w:hint="default" w:ascii="Arial" w:hAnsi="Arial"/>
        </w:rPr>
        <w:t>介绍</w:t>
      </w:r>
      <w:bookmarkEnd w:id="1"/>
    </w:p>
    <w:p w14:paraId="1E20FD3E">
      <w:pPr>
        <w:pStyle w:val="6"/>
        <w:numPr>
          <w:numId w:val="0"/>
        </w:numPr>
        <w:bidi w:val="0"/>
        <w:ind w:left="0" w:leftChars="0" w:firstLine="0" w:firstLineChars="0"/>
        <w:rPr>
          <w:rFonts w:hint="default"/>
        </w:rPr>
      </w:pPr>
      <w:bookmarkStart w:id="2" w:name="_Toc136011388"/>
      <w:r>
        <w:rPr>
          <w:rFonts w:hint="default" w:ascii="宋体" w:hAnsi="宋体" w:eastAsia="宋体" w:cs="宋体"/>
          <w:b/>
          <w:kern w:val="2"/>
          <w:sz w:val="28"/>
          <w:szCs w:val="30"/>
          <w:lang w:val="en-US" w:eastAsia="zh-CN" w:bidi="ar-SA"/>
        </w:rPr>
        <w:t>3.2.2.1.</w:t>
      </w:r>
      <w:r>
        <w:rPr>
          <w:rFonts w:hint="default"/>
        </w:rPr>
        <w:t>概念介绍</w:t>
      </w:r>
      <w:bookmarkEnd w:id="2"/>
    </w:p>
    <w:p w14:paraId="4265E3C7">
      <w:pPr>
        <w:pStyle w:val="5"/>
        <w:numPr>
          <w:numId w:val="0"/>
        </w:numPr>
        <w:bidi w:val="0"/>
        <w:ind w:left="0" w:leftChars="0" w:firstLine="0" w:firstLineChars="0"/>
        <w:rPr>
          <w:rFonts w:hint="eastAsia"/>
          <w:lang w:val="en-US" w:eastAsia="zh-CN"/>
        </w:rPr>
      </w:pPr>
      <w:bookmarkStart w:id="3" w:name="_Toc136011389"/>
      <w:r>
        <w:rPr>
          <w:rFonts w:hint="default" w:ascii="宋体" w:hAnsi="宋体" w:eastAsia="宋体" w:cs="宋体"/>
          <w:b/>
          <w:kern w:val="2"/>
          <w:sz w:val="30"/>
          <w:szCs w:val="30"/>
          <w:lang w:val="en-US" w:eastAsia="zh-CN" w:bidi="ar-SA"/>
        </w:rPr>
        <w:t>3.2.3.</w:t>
      </w:r>
      <w:r>
        <w:rPr>
          <w:rFonts w:hint="eastAsia"/>
          <w:lang w:val="en-US" w:eastAsia="zh-CN"/>
        </w:rPr>
        <w:t>产品的高性能</w:t>
      </w:r>
    </w:p>
    <w:p w14:paraId="4F5B9223">
      <w:pPr>
        <w:bidi w:val="0"/>
        <w:rPr>
          <w:rFonts w:hint="eastAsia"/>
        </w:rPr>
      </w:pPr>
      <w:r>
        <w:rPr>
          <w:rFonts w:hint="eastAsia"/>
        </w:rPr>
        <w:t xml:space="preserve"> </w:t>
      </w:r>
      <w:r>
        <w:rPr>
          <w:rFonts w:hint="eastAsia"/>
          <w:lang w:val="en-US" w:eastAsia="zh-CN"/>
        </w:rPr>
        <w:t>华存TGStor Galaxy系列分布式存储</w:t>
      </w:r>
      <w:r>
        <w:rPr>
          <w:rFonts w:hint="eastAsia"/>
        </w:rPr>
        <w:t>采用分布式对称架构不需要单独的元数据服务器</w:t>
      </w:r>
    </w:p>
    <w:p w14:paraId="5EE66A80">
      <w:pPr>
        <w:bidi w:val="0"/>
        <w:rPr>
          <w:rFonts w:hint="eastAsia"/>
        </w:rPr>
      </w:pPr>
      <w:r>
        <w:rPr>
          <w:rFonts w:hint="eastAsia"/>
        </w:rPr>
        <w:t>分布式全局缓存，有效提高集群读写性能</w:t>
      </w:r>
    </w:p>
    <w:p w14:paraId="02FB9204">
      <w:pPr>
        <w:bidi w:val="0"/>
        <w:rPr>
          <w:rFonts w:hint="eastAsia"/>
        </w:rPr>
      </w:pPr>
      <w:r>
        <w:rPr>
          <w:rFonts w:hint="eastAsia"/>
        </w:rPr>
        <w:t>支持Intel芯片平台、</w:t>
      </w:r>
      <w:r>
        <w:rPr>
          <w:rFonts w:hint="eastAsia"/>
          <w:lang w:val="en-US" w:eastAsia="zh-CN"/>
        </w:rPr>
        <w:t>ARM</w:t>
      </w:r>
      <w:r>
        <w:rPr>
          <w:rFonts w:hint="eastAsia"/>
        </w:rPr>
        <w:t>芯片平台</w:t>
      </w:r>
    </w:p>
    <w:p w14:paraId="59325ECA">
      <w:pPr>
        <w:bidi w:val="0"/>
        <w:rPr>
          <w:rFonts w:hint="eastAsia"/>
        </w:rPr>
      </w:pPr>
      <w:r>
        <w:rPr>
          <w:rFonts w:hint="eastAsia"/>
        </w:rPr>
        <w:t>强大的线性扩展能力</w:t>
      </w:r>
    </w:p>
    <w:p w14:paraId="76E153A9">
      <w:pPr>
        <w:bidi w:val="0"/>
        <w:rPr>
          <w:rFonts w:hint="eastAsia"/>
        </w:rPr>
      </w:pPr>
      <w:r>
        <w:rPr>
          <w:rFonts w:hint="eastAsia"/>
        </w:rPr>
        <w:t>最大横向扩展至</w:t>
      </w:r>
      <w:r>
        <w:rPr>
          <w:rFonts w:hint="eastAsia"/>
          <w:lang w:eastAsia="zh-CN"/>
        </w:rPr>
        <w:t>4096</w:t>
      </w:r>
      <w:r>
        <w:rPr>
          <w:rFonts w:hint="eastAsia"/>
        </w:rPr>
        <w:t>个节点，支撑业务灵活发展</w:t>
      </w:r>
    </w:p>
    <w:p w14:paraId="6A26D15A">
      <w:pPr>
        <w:bidi w:val="0"/>
        <w:rPr>
          <w:rFonts w:hint="eastAsia"/>
        </w:rPr>
      </w:pPr>
      <w:r>
        <w:rPr>
          <w:rFonts w:hint="eastAsia"/>
        </w:rPr>
        <w:t>性能和容量随节点数和集群规模线性增长</w:t>
      </w:r>
    </w:p>
    <w:p w14:paraId="3591A168">
      <w:pPr>
        <w:rPr>
          <w:rFonts w:hint="eastAsia"/>
          <w:lang w:val="en-US" w:eastAsia="zh-CN"/>
        </w:rPr>
      </w:pPr>
      <w:r>
        <w:rPr>
          <w:rFonts w:hint="eastAsia"/>
        </w:rPr>
        <w:t>大批量处理能力，提供相应API接口，满足大量文件、文件夹同时上传、下载使用的场景</w:t>
      </w:r>
    </w:p>
    <w:p w14:paraId="06B47310">
      <w:pPr>
        <w:pStyle w:val="7"/>
        <w:numPr>
          <w:numId w:val="0"/>
        </w:numPr>
        <w:bidi w:val="0"/>
        <w:ind w:left="0" w:leftChars="0" w:firstLine="0" w:firstLineChars="0"/>
        <w:rPr>
          <w:rFonts w:hint="default"/>
        </w:rPr>
      </w:pPr>
      <w:r>
        <w:rPr>
          <w:rFonts w:hint="default" w:ascii="宋体" w:hAnsi="宋体" w:eastAsia="宋体" w:cs="宋体"/>
          <w:b/>
          <w:kern w:val="2"/>
          <w:sz w:val="28"/>
          <w:szCs w:val="30"/>
          <w:lang w:val="en-US" w:eastAsia="zh-CN" w:bidi="ar-SA"/>
        </w:rPr>
        <w:t>3.2.3.1.1.</w:t>
      </w:r>
      <w:r>
        <w:rPr>
          <w:rFonts w:hint="default"/>
        </w:rPr>
        <w:t>数据生命周期管理（</w:t>
      </w:r>
      <w:r>
        <w:rPr>
          <w:rFonts w:hint="default"/>
          <w:lang w:val="en-US"/>
        </w:rPr>
        <w:t>DLM</w:t>
      </w:r>
      <w:bookmarkEnd w:id="3"/>
      <w:r>
        <w:rPr>
          <w:rFonts w:hint="default"/>
        </w:rPr>
        <w:t>）</w:t>
      </w:r>
    </w:p>
    <w:p w14:paraId="711DC033">
      <w:pPr>
        <w:bidi w:val="0"/>
        <w:rPr>
          <w:rFonts w:hint="default"/>
        </w:rPr>
      </w:pPr>
      <w:r>
        <w:rPr>
          <w:rFonts w:hint="eastAsia"/>
          <w:lang w:val="en-US" w:eastAsia="zh-CN"/>
        </w:rPr>
        <w:t>如</w:t>
      </w:r>
      <w:r>
        <w:rPr>
          <w:rFonts w:hint="eastAsia" w:ascii="微软雅黑" w:hAnsi="微软雅黑" w:eastAsia="微软雅黑" w:cs="微软雅黑"/>
          <w:i w:val="0"/>
          <w:iCs w:val="0"/>
          <w:caps w:val="0"/>
          <w:color w:val="auto"/>
          <w:spacing w:val="0"/>
          <w:szCs w:val="14"/>
          <w:u w:val="none"/>
          <w:shd w:val="clear" w:fill="FFFFFF"/>
          <w:vertAlign w:val="baseline"/>
          <w:lang w:val="en-US"/>
        </w:rPr>
        <w:t>图</w:t>
      </w:r>
      <w:r>
        <w:rPr>
          <w:rFonts w:hint="default" w:ascii="Arial" w:hAnsi="Arial" w:eastAsia="微软雅黑" w:cs="Arial"/>
          <w:i w:val="0"/>
          <w:iCs w:val="0"/>
          <w:caps w:val="0"/>
          <w:color w:val="auto"/>
          <w:spacing w:val="0"/>
          <w:szCs w:val="14"/>
          <w:u w:val="none"/>
          <w:shd w:val="clear" w:fill="FFFFFF"/>
          <w:vertAlign w:val="baseline"/>
          <w:lang w:val="en-US"/>
        </w:rPr>
        <w:t>2-1</w:t>
      </w:r>
      <w:r>
        <w:rPr>
          <w:rFonts w:hint="eastAsia"/>
          <w:lang w:val="en-US" w:eastAsia="zh-CN"/>
        </w:rPr>
        <w:t>所示，数据生命周期指的是数据从产生到销毁的全过程，数据生命周期管理（Data Lifecycle Management，DLM）指一种对数据进行全生命周期的前瞻性、主动性管理的管理模型。</w:t>
      </w:r>
    </w:p>
    <w:p w14:paraId="610D514E">
      <w:pPr>
        <w:bidi w:val="0"/>
        <w:rPr>
          <w:rFonts w:hint="default"/>
        </w:rPr>
      </w:pPr>
      <w:bookmarkStart w:id="4" w:name="_Ref131435760"/>
      <w:r>
        <w:rPr>
          <w:rFonts w:hint="default"/>
          <w:lang w:val="en-US"/>
        </w:rPr>
        <w:t>图2-1 </w:t>
      </w:r>
      <w:r>
        <w:rPr>
          <w:rFonts w:hint="default"/>
        </w:rPr>
        <w:t>数据生命周期</w:t>
      </w:r>
      <w:bookmarkEnd w:id="4"/>
    </w:p>
    <w:p w14:paraId="1A7E20AB">
      <w:pPr>
        <w:bidi w:val="0"/>
        <w:rPr>
          <w:rFonts w:hint="default"/>
        </w:rPr>
      </w:pPr>
      <w:bookmarkStart w:id="5" w:name="x_Img_x_png_0"/>
      <w:r>
        <w:rPr>
          <w:rFonts w:hint="eastAsia"/>
          <w:lang w:val="en-US"/>
        </w:rPr>
        <w:drawing>
          <wp:inline distT="0" distB="0" distL="114300" distR="114300">
            <wp:extent cx="3919855" cy="1402080"/>
            <wp:effectExtent l="0" t="0" r="4445" b="7620"/>
            <wp:docPr id="1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IMG_256"/>
                    <pic:cNvPicPr>
                      <a:picLocks noChangeAspect="1"/>
                    </pic:cNvPicPr>
                  </pic:nvPicPr>
                  <pic:blipFill>
                    <a:blip r:embed="rId7"/>
                    <a:stretch>
                      <a:fillRect/>
                    </a:stretch>
                  </pic:blipFill>
                  <pic:spPr>
                    <a:xfrm>
                      <a:off x="0" y="0"/>
                      <a:ext cx="3919855" cy="1402080"/>
                    </a:xfrm>
                    <a:prstGeom prst="rect">
                      <a:avLst/>
                    </a:prstGeom>
                    <a:noFill/>
                    <a:ln w="9525">
                      <a:noFill/>
                    </a:ln>
                  </pic:spPr>
                </pic:pic>
              </a:graphicData>
            </a:graphic>
          </wp:inline>
        </w:drawing>
      </w:r>
      <w:bookmarkEnd w:id="5"/>
    </w:p>
    <w:p w14:paraId="7A0B214D">
      <w:pPr>
        <w:bidi w:val="0"/>
        <w:rPr>
          <w:rFonts w:hint="default"/>
        </w:rPr>
      </w:pPr>
      <w:r>
        <w:rPr>
          <w:rFonts w:hint="eastAsia"/>
          <w:lang w:val="en-US" w:eastAsia="zh-CN"/>
        </w:rPr>
        <w:t> </w:t>
      </w:r>
    </w:p>
    <w:p w14:paraId="4EFD931C">
      <w:pPr>
        <w:bidi w:val="0"/>
        <w:rPr>
          <w:rFonts w:hint="default"/>
        </w:rPr>
      </w:pPr>
      <w:r>
        <w:rPr>
          <w:rFonts w:hint="eastAsia"/>
          <w:lang w:val="en-US" w:eastAsia="zh-CN"/>
        </w:rPr>
        <w:t>在数据生命周期中，处于不同阶段的数据具有不同的价值和意义。一般来说，当数据刚刚产生时，数据的访问率较高，数据所带来的效益也较高。随着时间的推移，数据的访问率降低，数据逐渐变为过时的非活动数据，数据所能产生的效益也随之降低。如何针对生命周期中各个阶段的数据采取不同的管理方法，更为科学地管理数据，进而挖掘数据价值，降低数据管理成本，便是数据生命周期管理所研究的课题。</w:t>
      </w:r>
    </w:p>
    <w:p w14:paraId="166E25F4">
      <w:pPr>
        <w:pStyle w:val="7"/>
        <w:numPr>
          <w:numId w:val="0"/>
        </w:numPr>
        <w:bidi w:val="0"/>
        <w:ind w:left="0" w:leftChars="0" w:firstLine="0" w:firstLineChars="0"/>
        <w:rPr>
          <w:rFonts w:hint="default"/>
        </w:rPr>
      </w:pPr>
      <w:bookmarkStart w:id="6" w:name="_Toc136011390"/>
      <w:r>
        <w:rPr>
          <w:rFonts w:hint="default" w:ascii="宋体" w:hAnsi="宋体" w:eastAsia="宋体" w:cs="宋体"/>
          <w:b/>
          <w:kern w:val="2"/>
          <w:sz w:val="28"/>
          <w:szCs w:val="30"/>
          <w:lang w:val="en-US" w:eastAsia="zh-CN" w:bidi="ar-SA"/>
        </w:rPr>
        <w:t>3.2.3.1.2.</w:t>
      </w:r>
      <w:r>
        <w:rPr>
          <w:rFonts w:hint="default"/>
        </w:rPr>
        <w:t>文件分级存储</w:t>
      </w:r>
      <w:bookmarkEnd w:id="6"/>
    </w:p>
    <w:p w14:paraId="4F17A12C">
      <w:pPr>
        <w:bidi w:val="0"/>
        <w:rPr>
          <w:rFonts w:hint="default"/>
        </w:rPr>
      </w:pPr>
      <w:r>
        <w:rPr>
          <w:rFonts w:hint="eastAsia"/>
          <w:lang w:val="en-US" w:eastAsia="zh-CN"/>
        </w:rPr>
        <w:t>分级存储（也称分层存储）是实现数据生命周期管理的有效手段之一。文件分级存储技术首先按照性能的不同将存储设备进行分级，同时按照一定的策略将文件数据也进行分级，然后将特定级别的文件数据存储至特定级别的存储设备中，以满足存储性能、存储容量和存储成本的三重需求。</w:t>
      </w:r>
    </w:p>
    <w:p w14:paraId="1B8F6A28">
      <w:pPr>
        <w:bidi w:val="0"/>
        <w:rPr>
          <w:rFonts w:hint="default"/>
        </w:rPr>
      </w:pPr>
      <w:r>
        <w:rPr>
          <w:rFonts w:hint="eastAsia"/>
          <w:lang w:val="en-US" w:eastAsia="zh-CN"/>
        </w:rPr>
        <w:t>受到存储技术和生产成本的制约，性能越高的存储设备价格越昂贵，存储容量越小，性能越低的存储设备价格越低廉，存储容量越大，因此在计算存储领域，对分级存储思想的应用由来已久。例如</w:t>
      </w:r>
      <w:r>
        <w:rPr>
          <w:rFonts w:hint="eastAsia" w:ascii="微软雅黑" w:hAnsi="微软雅黑" w:eastAsia="微软雅黑" w:cs="微软雅黑"/>
          <w:i w:val="0"/>
          <w:iCs w:val="0"/>
          <w:caps w:val="0"/>
          <w:color w:val="auto"/>
          <w:spacing w:val="0"/>
          <w:szCs w:val="14"/>
          <w:u w:val="none"/>
          <w:shd w:val="clear" w:fill="FFFFFF"/>
          <w:vertAlign w:val="baseline"/>
          <w:lang w:val="en-US"/>
        </w:rPr>
        <w:t>图</w:t>
      </w:r>
      <w:r>
        <w:rPr>
          <w:rFonts w:hint="default" w:ascii="Arial" w:hAnsi="Arial" w:eastAsia="微软雅黑" w:cs="Arial"/>
          <w:i w:val="0"/>
          <w:iCs w:val="0"/>
          <w:caps w:val="0"/>
          <w:color w:val="auto"/>
          <w:spacing w:val="0"/>
          <w:szCs w:val="14"/>
          <w:u w:val="none"/>
          <w:shd w:val="clear" w:fill="FFFFFF"/>
          <w:vertAlign w:val="baseline"/>
          <w:lang w:val="en-US"/>
        </w:rPr>
        <w:t>2-2</w:t>
      </w:r>
      <w:r>
        <w:rPr>
          <w:rFonts w:hint="eastAsia"/>
          <w:lang w:val="en-US" w:eastAsia="zh-CN"/>
        </w:rPr>
        <w:t>所示，计算机内部对存储器进行分级，将读写速度快、层级高的存储器（如寄存器、高速缓存）用于与CPU进行直接数据交互，将读写速度慢、层级低的存储器（如内存、本地磁盘）用于与CPU进行间接数据交互，或长期存储大量数据。</w:t>
      </w:r>
    </w:p>
    <w:p w14:paraId="694F03D8">
      <w:pPr>
        <w:bidi w:val="0"/>
        <w:rPr>
          <w:rFonts w:hint="default"/>
        </w:rPr>
      </w:pPr>
      <w:bookmarkStart w:id="7" w:name="_Ref131500399"/>
      <w:r>
        <w:rPr>
          <w:rFonts w:hint="default"/>
          <w:lang w:val="en-US"/>
        </w:rPr>
        <w:t>图2-2 </w:t>
      </w:r>
      <w:r>
        <w:rPr>
          <w:rFonts w:hint="default"/>
        </w:rPr>
        <w:t>计算机内部存储器分级</w:t>
      </w:r>
      <w:bookmarkEnd w:id="7"/>
    </w:p>
    <w:p w14:paraId="21C8FFEC">
      <w:pPr>
        <w:bidi w:val="0"/>
        <w:rPr>
          <w:rFonts w:hint="default"/>
        </w:rPr>
      </w:pPr>
      <w:bookmarkStart w:id="8" w:name="x_Img_x_png_1"/>
      <w:r>
        <w:rPr>
          <w:rFonts w:hint="eastAsia"/>
          <w:lang w:val="en-US"/>
        </w:rPr>
        <w:drawing>
          <wp:inline distT="0" distB="0" distL="114300" distR="114300">
            <wp:extent cx="4188460" cy="2559685"/>
            <wp:effectExtent l="0" t="0" r="0" b="5715"/>
            <wp:docPr id="1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IMG_257"/>
                    <pic:cNvPicPr>
                      <a:picLocks noChangeAspect="1"/>
                    </pic:cNvPicPr>
                  </pic:nvPicPr>
                  <pic:blipFill>
                    <a:blip r:embed="rId8"/>
                    <a:stretch>
                      <a:fillRect/>
                    </a:stretch>
                  </pic:blipFill>
                  <pic:spPr>
                    <a:xfrm>
                      <a:off x="0" y="0"/>
                      <a:ext cx="4188460" cy="2559685"/>
                    </a:xfrm>
                    <a:prstGeom prst="rect">
                      <a:avLst/>
                    </a:prstGeom>
                    <a:noFill/>
                    <a:ln w="9525">
                      <a:noFill/>
                    </a:ln>
                  </pic:spPr>
                </pic:pic>
              </a:graphicData>
            </a:graphic>
          </wp:inline>
        </w:drawing>
      </w:r>
      <w:bookmarkEnd w:id="8"/>
    </w:p>
    <w:p w14:paraId="314378EB">
      <w:pPr>
        <w:bidi w:val="0"/>
        <w:rPr>
          <w:rFonts w:hint="default"/>
        </w:rPr>
      </w:pPr>
      <w:r>
        <w:rPr>
          <w:rFonts w:hint="eastAsia"/>
          <w:lang w:val="en-US" w:eastAsia="zh-CN"/>
        </w:rPr>
        <w:t> </w:t>
      </w:r>
    </w:p>
    <w:p w14:paraId="6575E080">
      <w:pPr>
        <w:bidi w:val="0"/>
        <w:rPr>
          <w:rFonts w:hint="default"/>
        </w:rPr>
      </w:pPr>
      <w:r>
        <w:rPr>
          <w:rFonts w:hint="eastAsia"/>
          <w:lang w:val="en-US" w:eastAsia="zh-CN"/>
        </w:rPr>
        <w:t>对于庞大的存储系统而言，在数据量日益增长的同时，绝大部分数据在一段时间过后将变为访问率较低的非活动数据（冷数据），数据的应用价值降低。然而访问率较低并不等于不会被访问，且随着时间的推移，其统计、分析的价值反而会上升，因此仍需采用在线存储的方式保存。与计算机内部的存储器分级类似，文件分级存储技术使用价格低廉的低性能存储设备存储非活动文件数据，以控制存储成本；使用价格昂贵的高性能存储设备存储活动文件数据，以保障存储服务质量。</w:t>
      </w:r>
    </w:p>
    <w:p w14:paraId="3CE9F620">
      <w:pPr>
        <w:pStyle w:val="7"/>
        <w:numPr>
          <w:numId w:val="0"/>
        </w:numPr>
        <w:bidi w:val="0"/>
        <w:ind w:left="0" w:leftChars="0" w:firstLine="0" w:firstLineChars="0"/>
        <w:rPr>
          <w:rFonts w:hint="default"/>
        </w:rPr>
      </w:pPr>
      <w:bookmarkStart w:id="9" w:name="_Toc136011391"/>
      <w:r>
        <w:rPr>
          <w:rFonts w:hint="default" w:ascii="宋体" w:hAnsi="宋体" w:eastAsia="宋体" w:cs="宋体"/>
          <w:b/>
          <w:kern w:val="2"/>
          <w:sz w:val="28"/>
          <w:szCs w:val="30"/>
          <w:lang w:val="en-US" w:eastAsia="zh-CN" w:bidi="ar-SA"/>
        </w:rPr>
        <w:t>3.2.3.1.3.</w:t>
      </w:r>
      <w:r>
        <w:rPr>
          <w:rFonts w:hint="default"/>
        </w:rPr>
        <w:t>文件布局策略</w:t>
      </w:r>
      <w:bookmarkEnd w:id="9"/>
    </w:p>
    <w:p w14:paraId="36073A05">
      <w:pPr>
        <w:bidi w:val="0"/>
        <w:rPr>
          <w:rFonts w:hint="default"/>
        </w:rPr>
      </w:pPr>
      <w:r>
        <w:rPr>
          <w:rFonts w:hint="eastAsia"/>
          <w:lang w:val="en-US" w:eastAsia="zh-CN"/>
        </w:rPr>
        <w:t>文件布局策略（又称文件分级存储策略）是文件分级存储技术的核心策略，存储系统根据文件布局策略确定文件的分级和存储位置。常见的分级依据项有：</w:t>
      </w:r>
    </w:p>
    <w:p w14:paraId="7551D266">
      <w:pPr>
        <w:bidi w:val="0"/>
        <w:rPr>
          <w:rFonts w:hint="default"/>
        </w:rPr>
      </w:pPr>
      <w:r>
        <w:rPr>
          <w:rFonts w:hint="default"/>
        </w:rPr>
        <w:t>时间：根据文件的产生时间或修改时间进行分级，越是新近产生</w:t>
      </w:r>
      <w:r>
        <w:rPr>
          <w:rFonts w:hint="default"/>
          <w:lang w:val="en-US"/>
        </w:rPr>
        <w:t>/</w:t>
      </w:r>
      <w:r>
        <w:rPr>
          <w:rFonts w:hint="default"/>
        </w:rPr>
        <w:t>修改的文件，数据热度越高。文件的产生</w:t>
      </w:r>
      <w:r>
        <w:rPr>
          <w:rFonts w:hint="default"/>
          <w:lang w:val="en-US"/>
        </w:rPr>
        <w:t>/</w:t>
      </w:r>
      <w:r>
        <w:rPr>
          <w:rFonts w:hint="default"/>
        </w:rPr>
        <w:t>修改时间一般储存在文件的元数据中。</w:t>
      </w:r>
    </w:p>
    <w:p w14:paraId="3CCC7473">
      <w:pPr>
        <w:bidi w:val="0"/>
        <w:rPr>
          <w:rFonts w:hint="default"/>
        </w:rPr>
      </w:pPr>
      <w:r>
        <w:rPr>
          <w:rFonts w:hint="default"/>
        </w:rPr>
        <w:t>被</w:t>
      </w:r>
      <w:r>
        <w:rPr>
          <w:rFonts w:hint="default"/>
          <w:lang w:val="en-US"/>
        </w:rPr>
        <w:t>访问频次</w:t>
      </w:r>
      <w:r>
        <w:rPr>
          <w:rFonts w:hint="default"/>
        </w:rPr>
        <w:t>：根据文件在一定时段内的被访问频次进行分级，文件的被访问频次越高，数据热度越高。统计文件访问频次的常用方法为</w:t>
      </w:r>
      <w:r>
        <w:rPr>
          <w:rFonts w:hint="default"/>
          <w:lang w:val="en-US"/>
        </w:rPr>
        <w:t>IO监控</w:t>
      </w:r>
      <w:r>
        <w:rPr>
          <w:rFonts w:hint="default"/>
        </w:rPr>
        <w:t>。</w:t>
      </w:r>
    </w:p>
    <w:p w14:paraId="7B2AC0BF">
      <w:pPr>
        <w:bidi w:val="0"/>
        <w:rPr>
          <w:rFonts w:hint="default"/>
        </w:rPr>
      </w:pPr>
      <w:r>
        <w:rPr>
          <w:rFonts w:hint="default"/>
        </w:rPr>
        <w:t>文件</w:t>
      </w:r>
      <w:r>
        <w:rPr>
          <w:rFonts w:hint="default"/>
          <w:lang w:val="en-US"/>
        </w:rPr>
        <w:t>属性</w:t>
      </w:r>
      <w:r>
        <w:rPr>
          <w:rFonts w:hint="default"/>
        </w:rPr>
        <w:t>：除了上述两种分级依据项外，文件的名称、</w:t>
      </w:r>
      <w:r>
        <w:rPr>
          <w:rFonts w:hint="default"/>
          <w:lang w:val="en-US"/>
        </w:rPr>
        <w:t>大小、来源、类型</w:t>
      </w:r>
      <w:r>
        <w:rPr>
          <w:rFonts w:hint="default"/>
        </w:rPr>
        <w:t>、所属目录</w:t>
      </w:r>
      <w:r>
        <w:rPr>
          <w:rFonts w:hint="default"/>
          <w:lang w:val="en-US"/>
        </w:rPr>
        <w:t>等</w:t>
      </w:r>
      <w:r>
        <w:rPr>
          <w:rFonts w:hint="default"/>
        </w:rPr>
        <w:t>属性也可以作为文件分级的依据。文件的属性信息一般储存在文件的元数据中。</w:t>
      </w:r>
    </w:p>
    <w:p w14:paraId="549FF898">
      <w:pPr>
        <w:bidi w:val="0"/>
        <w:rPr>
          <w:rFonts w:hint="default"/>
        </w:rPr>
      </w:pPr>
      <w:r>
        <w:rPr>
          <w:rFonts w:hint="eastAsia"/>
          <w:lang w:val="en-US" w:eastAsia="zh-CN"/>
        </w:rPr>
        <w:t>通过文件的产生/修改时间或被访问频次将文件数据划分为冷、热两级或冷、温、热三级是当前市场上最为常见的分级策略。分布式存储支持自定义文件布局策略，不仅限于常见的二级存储和三级存储，用户可在一条文件布局策略中配置多种依据项，多条文件布局策略存在优先级关系，有效实现对文件数据的精细化管理。</w:t>
      </w:r>
    </w:p>
    <w:p w14:paraId="3128FCCF">
      <w:pPr>
        <w:pStyle w:val="7"/>
        <w:numPr>
          <w:numId w:val="0"/>
        </w:numPr>
        <w:bidi w:val="0"/>
        <w:ind w:left="0" w:leftChars="0" w:firstLine="0" w:firstLineChars="0"/>
        <w:rPr>
          <w:rFonts w:hint="default"/>
        </w:rPr>
      </w:pPr>
      <w:bookmarkStart w:id="10" w:name="_Toc136011392"/>
      <w:r>
        <w:rPr>
          <w:rFonts w:hint="default" w:ascii="宋体" w:hAnsi="宋体" w:eastAsia="宋体" w:cs="宋体"/>
          <w:b/>
          <w:kern w:val="2"/>
          <w:sz w:val="28"/>
          <w:szCs w:val="30"/>
          <w:lang w:val="en-US" w:eastAsia="zh-CN" w:bidi="ar-SA"/>
        </w:rPr>
        <w:t>3.2.3.1.4.</w:t>
      </w:r>
      <w:r>
        <w:rPr>
          <w:rFonts w:hint="default"/>
        </w:rPr>
        <w:t>重条带化</w:t>
      </w:r>
      <w:bookmarkEnd w:id="10"/>
    </w:p>
    <w:p w14:paraId="132D5A5D">
      <w:pPr>
        <w:bidi w:val="0"/>
        <w:rPr>
          <w:rFonts w:hint="default"/>
        </w:rPr>
      </w:pPr>
      <w:r>
        <w:rPr>
          <w:rFonts w:hint="eastAsia"/>
          <w:lang w:val="en-US" w:eastAsia="zh-CN"/>
        </w:rPr>
        <w:t>存储迁移是分级存储的核心手段，已存放在存储系统中的数据需通过存储迁移存放至指定层级的存储设备中。分布式存储进行存储迁移所采用的技术是重条带化。</w:t>
      </w:r>
    </w:p>
    <w:p w14:paraId="49CB8066">
      <w:pPr>
        <w:bidi w:val="0"/>
        <w:rPr>
          <w:rFonts w:hint="default"/>
        </w:rPr>
      </w:pPr>
      <w:r>
        <w:rPr>
          <w:rFonts w:hint="eastAsia"/>
          <w:lang w:val="en-US" w:eastAsia="zh-CN"/>
        </w:rPr>
        <w:t>重条带化是指将存储池中的存储资源划分为多个条带，每个条带跨越所有的数据盘。存储数据时将连续的数据条带化成多个大小相同的块，并存储至不同数据盘，达到负载均衡和提高写入速度的效果。条带越窄，则数据越能够均匀地分布在多块硬盘上；条带越宽，则硬盘读写性能越高。存储迁移时，存储系统将需要进行存储迁移的数据取出，进行重条带化，并存储至匹配的文件布局策略规定的存储池。</w:t>
      </w:r>
    </w:p>
    <w:p w14:paraId="2B6F91C4">
      <w:pPr>
        <w:bidi w:val="0"/>
        <w:rPr>
          <w:rFonts w:hint="default"/>
        </w:rPr>
      </w:pPr>
      <w:r>
        <w:rPr>
          <w:rFonts w:hint="default"/>
          <w:lang w:val="en-US"/>
        </w:rPr>
        <w:t>图2-3 </w:t>
      </w:r>
      <w:r>
        <w:rPr>
          <w:rFonts w:hint="default"/>
        </w:rPr>
        <w:t>重条带化</w:t>
      </w:r>
    </w:p>
    <w:p w14:paraId="77B33495">
      <w:pPr>
        <w:bidi w:val="0"/>
        <w:rPr>
          <w:rFonts w:hint="default"/>
        </w:rPr>
      </w:pPr>
      <w:bookmarkStart w:id="11" w:name="x_Img_x_png_2"/>
      <w:r>
        <w:rPr>
          <w:rFonts w:hint="eastAsia"/>
          <w:lang w:val="en-US"/>
        </w:rPr>
        <w:drawing>
          <wp:inline distT="0" distB="0" distL="114300" distR="114300">
            <wp:extent cx="2569210" cy="3780790"/>
            <wp:effectExtent l="0" t="0" r="8890" b="3810"/>
            <wp:docPr id="1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IMG_258"/>
                    <pic:cNvPicPr>
                      <a:picLocks noChangeAspect="1"/>
                    </pic:cNvPicPr>
                  </pic:nvPicPr>
                  <pic:blipFill>
                    <a:blip r:embed="rId9"/>
                    <a:stretch>
                      <a:fillRect/>
                    </a:stretch>
                  </pic:blipFill>
                  <pic:spPr>
                    <a:xfrm>
                      <a:off x="0" y="0"/>
                      <a:ext cx="2569210" cy="3780790"/>
                    </a:xfrm>
                    <a:prstGeom prst="rect">
                      <a:avLst/>
                    </a:prstGeom>
                    <a:noFill/>
                    <a:ln w="9525">
                      <a:noFill/>
                    </a:ln>
                  </pic:spPr>
                </pic:pic>
              </a:graphicData>
            </a:graphic>
          </wp:inline>
        </w:drawing>
      </w:r>
      <w:bookmarkEnd w:id="11"/>
    </w:p>
    <w:p w14:paraId="37C0978B">
      <w:pPr>
        <w:pStyle w:val="6"/>
        <w:numPr>
          <w:numId w:val="0"/>
        </w:numPr>
        <w:bidi w:val="0"/>
        <w:ind w:left="0" w:leftChars="0" w:firstLine="0" w:firstLineChars="0"/>
        <w:rPr>
          <w:rFonts w:hint="default"/>
        </w:rPr>
      </w:pPr>
      <w:bookmarkStart w:id="12" w:name="_Toc136011393"/>
      <w:r>
        <w:rPr>
          <w:rFonts w:hint="default" w:ascii="宋体" w:hAnsi="宋体" w:eastAsia="宋体" w:cs="宋体"/>
          <w:b/>
          <w:kern w:val="2"/>
          <w:sz w:val="28"/>
          <w:szCs w:val="30"/>
          <w:lang w:val="en-US" w:eastAsia="zh-CN" w:bidi="ar-SA"/>
        </w:rPr>
        <w:t>3.2.3.2.</w:t>
      </w:r>
      <w:r>
        <w:rPr>
          <w:rFonts w:hint="default"/>
          <w:lang w:val="en-US"/>
        </w:rPr>
        <w:t>2.2</w:t>
      </w:r>
      <w:r>
        <w:rPr>
          <w:rFonts w:hint="default"/>
        </w:rPr>
        <w:t>运行机制</w:t>
      </w:r>
      <w:bookmarkEnd w:id="12"/>
    </w:p>
    <w:p w14:paraId="21859586">
      <w:pPr>
        <w:pStyle w:val="7"/>
        <w:numPr>
          <w:numId w:val="0"/>
        </w:numPr>
        <w:bidi w:val="0"/>
        <w:ind w:left="0" w:leftChars="0" w:firstLine="0" w:firstLineChars="0"/>
        <w:rPr>
          <w:rFonts w:hint="default"/>
        </w:rPr>
      </w:pPr>
      <w:bookmarkStart w:id="13" w:name="_Toc136011394"/>
      <w:r>
        <w:rPr>
          <w:rFonts w:hint="default" w:ascii="宋体" w:hAnsi="宋体" w:eastAsia="宋体" w:cs="宋体"/>
          <w:b/>
          <w:kern w:val="2"/>
          <w:sz w:val="28"/>
          <w:szCs w:val="30"/>
          <w:lang w:val="en-US" w:eastAsia="zh-CN" w:bidi="ar-SA"/>
        </w:rPr>
        <w:t>3.2.3.2.1.</w:t>
      </w:r>
      <w:r>
        <w:rPr>
          <w:rFonts w:hint="default"/>
        </w:rPr>
        <w:t>运行流程</w:t>
      </w:r>
      <w:bookmarkEnd w:id="13"/>
    </w:p>
    <w:p w14:paraId="7AEC2B04">
      <w:pPr>
        <w:bidi w:val="0"/>
        <w:rPr>
          <w:rFonts w:hint="default"/>
        </w:rPr>
      </w:pPr>
      <w:r>
        <w:rPr>
          <w:rFonts w:hint="default"/>
          <w:lang w:val="en-US"/>
        </w:rPr>
        <w:t>1. </w:t>
      </w:r>
      <w:r>
        <w:rPr>
          <w:rFonts w:hint="default"/>
        </w:rPr>
        <w:t>原有文件的分级存储流程</w:t>
      </w:r>
    </w:p>
    <w:p w14:paraId="7FA92F02">
      <w:pPr>
        <w:bidi w:val="0"/>
        <w:rPr>
          <w:rFonts w:hint="default"/>
        </w:rPr>
      </w:pPr>
      <w:r>
        <w:rPr>
          <w:rFonts w:hint="eastAsia"/>
          <w:lang w:val="en-US" w:eastAsia="zh-CN"/>
        </w:rPr>
        <w:t>如</w:t>
      </w:r>
      <w:r>
        <w:rPr>
          <w:rFonts w:hint="eastAsia" w:ascii="微软雅黑" w:hAnsi="微软雅黑" w:eastAsia="微软雅黑" w:cs="微软雅黑"/>
          <w:i w:val="0"/>
          <w:iCs w:val="0"/>
          <w:caps w:val="0"/>
          <w:color w:val="auto"/>
          <w:spacing w:val="0"/>
          <w:szCs w:val="14"/>
          <w:u w:val="none"/>
          <w:shd w:val="clear" w:fill="FFFFFF"/>
          <w:vertAlign w:val="baseline"/>
          <w:lang w:val="en-US"/>
        </w:rPr>
        <w:t>图</w:t>
      </w:r>
      <w:r>
        <w:rPr>
          <w:rFonts w:hint="default" w:ascii="Arial" w:hAnsi="Arial" w:eastAsia="微软雅黑" w:cs="Arial"/>
          <w:i w:val="0"/>
          <w:iCs w:val="0"/>
          <w:caps w:val="0"/>
          <w:color w:val="auto"/>
          <w:spacing w:val="0"/>
          <w:szCs w:val="14"/>
          <w:u w:val="none"/>
          <w:shd w:val="clear" w:fill="FFFFFF"/>
          <w:vertAlign w:val="baseline"/>
          <w:lang w:val="en-US"/>
        </w:rPr>
        <w:t>2-4</w:t>
      </w:r>
      <w:r>
        <w:rPr>
          <w:rFonts w:hint="eastAsia"/>
          <w:lang w:val="en-US" w:eastAsia="zh-CN"/>
        </w:rPr>
        <w:t>所示，在用户配置好文件布局策略后，对于存储系统中原有的文件数据，文件分级存储的运行流程为：</w:t>
      </w:r>
    </w:p>
    <w:p w14:paraId="2B4BFB75">
      <w:pPr>
        <w:bidi w:val="0"/>
        <w:rPr>
          <w:rFonts w:hint="default"/>
        </w:rPr>
      </w:pPr>
      <w:r>
        <w:rPr>
          <w:rFonts w:hint="default"/>
          <w:lang w:val="en-US"/>
        </w:rPr>
        <w:t>(1)</w:t>
      </w:r>
      <w:r>
        <w:rPr>
          <w:rFonts w:hint="default"/>
        </w:rPr>
        <w:t> 文件扫描：</w:t>
      </w:r>
      <w:r>
        <w:rPr>
          <w:rFonts w:hint="default"/>
          <w:lang w:val="en-US"/>
        </w:rPr>
        <w:t>存储系统在指定时段，以目录为单位</w:t>
      </w:r>
      <w:r>
        <w:rPr>
          <w:rFonts w:hint="default"/>
        </w:rPr>
        <w:t>进行文件扫描，获取文件的属性信息</w:t>
      </w:r>
      <w:r>
        <w:rPr>
          <w:rFonts w:hint="default"/>
          <w:lang w:val="en-US"/>
        </w:rPr>
        <w:t>。</w:t>
      </w:r>
    </w:p>
    <w:p w14:paraId="45029E3A">
      <w:pPr>
        <w:bidi w:val="0"/>
        <w:rPr>
          <w:rFonts w:hint="default"/>
        </w:rPr>
      </w:pPr>
      <w:r>
        <w:rPr>
          <w:rFonts w:hint="default"/>
          <w:lang w:val="en-US"/>
        </w:rPr>
        <w:t>(2)</w:t>
      </w:r>
      <w:r>
        <w:rPr>
          <w:rFonts w:hint="default"/>
        </w:rPr>
        <w:t> </w:t>
      </w:r>
      <w:r>
        <w:rPr>
          <w:rFonts w:hint="default"/>
          <w:lang w:val="en-US"/>
        </w:rPr>
        <w:t>匹配</w:t>
      </w:r>
      <w:r>
        <w:rPr>
          <w:rFonts w:hint="default"/>
        </w:rPr>
        <w:t>文件布局</w:t>
      </w:r>
      <w:r>
        <w:rPr>
          <w:rFonts w:hint="default"/>
          <w:lang w:val="en-US"/>
        </w:rPr>
        <w:t>策略</w:t>
      </w:r>
      <w:r>
        <w:rPr>
          <w:rFonts w:hint="default"/>
        </w:rPr>
        <w:t>：</w:t>
      </w:r>
      <w:r>
        <w:rPr>
          <w:rFonts w:hint="default"/>
          <w:lang w:val="en-US"/>
        </w:rPr>
        <w:t>按照优先等级从高到低依次将文件布局策略与文件进行匹配判断。一个文件匹配到一条文件布局策略后，将不再为该文件继续匹配优先级更低的策略。</w:t>
      </w:r>
    </w:p>
    <w:p w14:paraId="3194B021">
      <w:pPr>
        <w:bidi w:val="0"/>
        <w:rPr>
          <w:rFonts w:hint="default"/>
        </w:rPr>
      </w:pPr>
      <w:r>
        <w:rPr>
          <w:rFonts w:hint="default"/>
          <w:lang w:val="en-US"/>
        </w:rPr>
        <w:t>(3)</w:t>
      </w:r>
      <w:r>
        <w:rPr>
          <w:rFonts w:hint="default"/>
        </w:rPr>
        <w:t> </w:t>
      </w:r>
      <w:r>
        <w:rPr>
          <w:rFonts w:hint="default"/>
          <w:lang w:val="en-US"/>
        </w:rPr>
        <w:t>迁移文件</w:t>
      </w:r>
      <w:r>
        <w:rPr>
          <w:rFonts w:hint="default"/>
        </w:rPr>
        <w:t>：</w:t>
      </w:r>
      <w:r>
        <w:rPr>
          <w:rFonts w:hint="default"/>
          <w:lang w:val="en-US"/>
        </w:rPr>
        <w:t>存储系统在指定时段进行分级存储工作，对需要迁移的文件数据进行迁移。</w:t>
      </w:r>
    </w:p>
    <w:p w14:paraId="074F0D8A">
      <w:pPr>
        <w:bidi w:val="0"/>
        <w:rPr>
          <w:rFonts w:hint="default"/>
        </w:rPr>
      </w:pPr>
      <w:bookmarkStart w:id="14" w:name="_Ref134188895"/>
      <w:r>
        <w:rPr>
          <w:rFonts w:hint="default"/>
          <w:lang w:val="en-US"/>
        </w:rPr>
        <w:t>图2-4 </w:t>
      </w:r>
      <w:r>
        <w:rPr>
          <w:rFonts w:hint="default"/>
        </w:rPr>
        <w:t>分级存储流程</w:t>
      </w:r>
      <w:bookmarkEnd w:id="14"/>
      <w:r>
        <w:rPr>
          <w:rFonts w:hint="default"/>
        </w:rPr>
        <w:t>（原有文件）</w:t>
      </w:r>
    </w:p>
    <w:p w14:paraId="2A0DD67B">
      <w:pPr>
        <w:bidi w:val="0"/>
        <w:rPr>
          <w:rFonts w:hint="default"/>
        </w:rPr>
      </w:pPr>
      <w:bookmarkStart w:id="15" w:name="x_Img_x_png_3"/>
      <w:r>
        <w:rPr>
          <w:rFonts w:hint="eastAsia"/>
          <w:lang w:val="en-US"/>
        </w:rPr>
        <w:drawing>
          <wp:inline distT="0" distB="0" distL="114300" distR="114300">
            <wp:extent cx="1572260" cy="1814830"/>
            <wp:effectExtent l="0" t="0" r="2540" b="1270"/>
            <wp:docPr id="1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9"/>
                    <pic:cNvPicPr>
                      <a:picLocks noChangeAspect="1"/>
                    </pic:cNvPicPr>
                  </pic:nvPicPr>
                  <pic:blipFill>
                    <a:blip r:embed="rId10"/>
                    <a:stretch>
                      <a:fillRect/>
                    </a:stretch>
                  </pic:blipFill>
                  <pic:spPr>
                    <a:xfrm>
                      <a:off x="0" y="0"/>
                      <a:ext cx="1572260" cy="1814830"/>
                    </a:xfrm>
                    <a:prstGeom prst="rect">
                      <a:avLst/>
                    </a:prstGeom>
                    <a:noFill/>
                    <a:ln w="9525">
                      <a:noFill/>
                    </a:ln>
                  </pic:spPr>
                </pic:pic>
              </a:graphicData>
            </a:graphic>
          </wp:inline>
        </w:drawing>
      </w:r>
      <w:bookmarkEnd w:id="15"/>
    </w:p>
    <w:p w14:paraId="3AAE3929">
      <w:pPr>
        <w:bidi w:val="0"/>
        <w:rPr>
          <w:rFonts w:hint="default"/>
        </w:rPr>
      </w:pPr>
      <w:r>
        <w:rPr>
          <w:rFonts w:hint="eastAsia"/>
          <w:lang w:val="en-US" w:eastAsia="zh-CN"/>
        </w:rPr>
        <w:t> </w:t>
      </w:r>
    </w:p>
    <w:p w14:paraId="52DD605A">
      <w:pPr>
        <w:bidi w:val="0"/>
        <w:rPr>
          <w:rFonts w:hint="default"/>
        </w:rPr>
      </w:pPr>
      <w:r>
        <w:rPr>
          <w:rFonts w:hint="default"/>
          <w:lang w:val="en-US"/>
        </w:rPr>
        <w:t>2.</w:t>
      </w:r>
      <w:r>
        <w:rPr>
          <w:rFonts w:hint="default"/>
        </w:rPr>
        <w:t>新写入文件的分级存储流程</w:t>
      </w:r>
    </w:p>
    <w:p w14:paraId="0E2A5A7E">
      <w:pPr>
        <w:bidi w:val="0"/>
        <w:rPr>
          <w:rFonts w:hint="default"/>
        </w:rPr>
      </w:pPr>
      <w:r>
        <w:rPr>
          <w:rFonts w:hint="eastAsia"/>
          <w:lang w:val="en-US" w:eastAsia="zh-CN"/>
        </w:rPr>
        <w:t>如</w:t>
      </w:r>
      <w:r>
        <w:rPr>
          <w:rFonts w:hint="eastAsia" w:ascii="微软雅黑" w:hAnsi="微软雅黑" w:eastAsia="微软雅黑" w:cs="微软雅黑"/>
          <w:i w:val="0"/>
          <w:iCs w:val="0"/>
          <w:caps w:val="0"/>
          <w:color w:val="auto"/>
          <w:spacing w:val="0"/>
          <w:szCs w:val="14"/>
          <w:u w:val="none"/>
          <w:shd w:val="clear" w:fill="FFFFFF"/>
          <w:vertAlign w:val="baseline"/>
          <w:lang w:val="en-US"/>
        </w:rPr>
        <w:t>图</w:t>
      </w:r>
      <w:r>
        <w:rPr>
          <w:rFonts w:hint="default" w:ascii="Arial" w:hAnsi="Arial" w:eastAsia="微软雅黑" w:cs="Arial"/>
          <w:i w:val="0"/>
          <w:iCs w:val="0"/>
          <w:caps w:val="0"/>
          <w:color w:val="auto"/>
          <w:spacing w:val="0"/>
          <w:szCs w:val="14"/>
          <w:u w:val="none"/>
          <w:shd w:val="clear" w:fill="FFFFFF"/>
          <w:vertAlign w:val="baseline"/>
          <w:lang w:val="en-US"/>
        </w:rPr>
        <w:t>2-5</w:t>
      </w:r>
      <w:r>
        <w:rPr>
          <w:rFonts w:hint="eastAsia"/>
          <w:lang w:val="en-US" w:eastAsia="zh-CN"/>
        </w:rPr>
        <w:t>所示，在用户配置好文件布局策略后，对于新写入存储系统的文件数据，传统的分级存储流程为：先缺省将文件数据存入低速存储池，然后将文件数据当作存储系统中原有的数据，异步进行策略匹配和存储迁移。</w:t>
      </w:r>
    </w:p>
    <w:p w14:paraId="502D4DAF">
      <w:pPr>
        <w:bidi w:val="0"/>
        <w:rPr>
          <w:rFonts w:hint="default"/>
        </w:rPr>
      </w:pPr>
      <w:bookmarkStart w:id="16" w:name="_Ref134189327"/>
      <w:r>
        <w:rPr>
          <w:rFonts w:hint="default"/>
          <w:lang w:val="en-US"/>
        </w:rPr>
        <w:t>图2-5 </w:t>
      </w:r>
      <w:r>
        <w:rPr>
          <w:rFonts w:hint="default"/>
        </w:rPr>
        <w:t>传统的分级存储流程</w:t>
      </w:r>
      <w:bookmarkEnd w:id="16"/>
      <w:r>
        <w:rPr>
          <w:rFonts w:hint="default"/>
        </w:rPr>
        <w:t>（新写入文件）</w:t>
      </w:r>
    </w:p>
    <w:p w14:paraId="3E1F947E">
      <w:pPr>
        <w:bidi w:val="0"/>
        <w:rPr>
          <w:rFonts w:hint="default"/>
        </w:rPr>
      </w:pPr>
      <w:bookmarkStart w:id="17" w:name="x_Img_x_png_4"/>
      <w:r>
        <w:rPr>
          <w:rFonts w:hint="eastAsia"/>
          <w:lang w:val="en-US"/>
        </w:rPr>
        <w:drawing>
          <wp:inline distT="0" distB="0" distL="114300" distR="114300">
            <wp:extent cx="1598930" cy="2254885"/>
            <wp:effectExtent l="0" t="0" r="1270" b="5715"/>
            <wp:docPr id="14" name="图片 14"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60"/>
                    <pic:cNvPicPr>
                      <a:picLocks noChangeAspect="1"/>
                    </pic:cNvPicPr>
                  </pic:nvPicPr>
                  <pic:blipFill>
                    <a:blip r:embed="rId11"/>
                    <a:stretch>
                      <a:fillRect/>
                    </a:stretch>
                  </pic:blipFill>
                  <pic:spPr>
                    <a:xfrm>
                      <a:off x="0" y="0"/>
                      <a:ext cx="1598930" cy="2254885"/>
                    </a:xfrm>
                    <a:prstGeom prst="rect">
                      <a:avLst/>
                    </a:prstGeom>
                    <a:noFill/>
                    <a:ln w="9525">
                      <a:noFill/>
                    </a:ln>
                  </pic:spPr>
                </pic:pic>
              </a:graphicData>
            </a:graphic>
          </wp:inline>
        </w:drawing>
      </w:r>
      <w:bookmarkEnd w:id="17"/>
    </w:p>
    <w:p w14:paraId="338881EB">
      <w:pPr>
        <w:bidi w:val="0"/>
        <w:rPr>
          <w:rFonts w:hint="default"/>
        </w:rPr>
      </w:pPr>
      <w:r>
        <w:rPr>
          <w:rFonts w:hint="eastAsia"/>
          <w:lang w:val="en-US" w:eastAsia="zh-CN"/>
        </w:rPr>
        <w:t> </w:t>
      </w:r>
    </w:p>
    <w:p w14:paraId="02EDABE6">
      <w:pPr>
        <w:bidi w:val="0"/>
        <w:rPr>
          <w:rFonts w:hint="default"/>
        </w:rPr>
      </w:pPr>
      <w:r>
        <w:rPr>
          <w:rFonts w:hint="eastAsia"/>
          <w:lang w:val="en-US" w:eastAsia="zh-CN"/>
        </w:rPr>
        <w:t>分布式存储所采用的文件分级存储技术优化了该流程，对于新写入存储系统的文件数据采取如下两种处理方式，用户可按需选择：</w:t>
      </w:r>
    </w:p>
    <w:p w14:paraId="3A2759CA">
      <w:pPr>
        <w:bidi w:val="0"/>
        <w:rPr>
          <w:rFonts w:hint="default"/>
        </w:rPr>
      </w:pPr>
      <w:r>
        <w:rPr>
          <w:rFonts w:hint="default"/>
        </w:rPr>
        <w:t>关闭缓存功能：如</w:t>
      </w:r>
      <w:r>
        <w:rPr>
          <w:rFonts w:hint="default" w:ascii="Arial" w:hAnsi="Arial" w:eastAsia="微软雅黑" w:cs="Arial"/>
          <w:i w:val="0"/>
          <w:iCs w:val="0"/>
          <w:caps w:val="0"/>
          <w:color w:val="auto"/>
          <w:spacing w:val="0"/>
          <w:szCs w:val="21"/>
          <w:u w:val="none"/>
          <w:shd w:val="clear" w:fill="FFFFFF"/>
          <w:vertAlign w:val="baseline"/>
          <w:lang w:val="en-US"/>
        </w:rPr>
        <w:t>图2-6</w:t>
      </w:r>
      <w:r>
        <w:rPr>
          <w:rFonts w:hint="default"/>
        </w:rPr>
        <w:t>所示，</w:t>
      </w:r>
      <w:r>
        <w:rPr>
          <w:rFonts w:hint="default"/>
          <w:lang w:val="en-US"/>
        </w:rPr>
        <w:t>按照优先级从高到低</w:t>
      </w:r>
      <w:r>
        <w:rPr>
          <w:rFonts w:hint="default"/>
        </w:rPr>
        <w:t>，</w:t>
      </w:r>
      <w:r>
        <w:rPr>
          <w:rFonts w:hint="default"/>
          <w:lang w:val="en-US"/>
        </w:rPr>
        <w:t>查找</w:t>
      </w:r>
      <w:r>
        <w:rPr>
          <w:rFonts w:hint="default"/>
        </w:rPr>
        <w:t>适用于该文件所属目录</w:t>
      </w:r>
      <w:r>
        <w:rPr>
          <w:rFonts w:hint="default"/>
          <w:lang w:val="en-US"/>
        </w:rPr>
        <w:t>的文件布局策略，</w:t>
      </w:r>
      <w:r>
        <w:rPr>
          <w:rFonts w:hint="default"/>
        </w:rPr>
        <w:t>查找到后</w:t>
      </w:r>
      <w:r>
        <w:rPr>
          <w:rFonts w:hint="default"/>
          <w:lang w:val="en-US"/>
        </w:rPr>
        <w:t>将文件数据</w:t>
      </w:r>
      <w:r>
        <w:rPr>
          <w:rFonts w:hint="default"/>
        </w:rPr>
        <w:t>直接</w:t>
      </w:r>
      <w:r>
        <w:rPr>
          <w:rFonts w:hint="default"/>
          <w:lang w:val="en-US"/>
        </w:rPr>
        <w:t>存放至</w:t>
      </w:r>
      <w:r>
        <w:rPr>
          <w:rFonts w:hint="default"/>
        </w:rPr>
        <w:t>该</w:t>
      </w:r>
      <w:r>
        <w:rPr>
          <w:rFonts w:hint="default"/>
          <w:lang w:val="en-US"/>
        </w:rPr>
        <w:t>策略指定的存储池</w:t>
      </w:r>
      <w:r>
        <w:rPr>
          <w:rFonts w:hint="default"/>
        </w:rPr>
        <w:t>。</w:t>
      </w:r>
    </w:p>
    <w:p w14:paraId="2E2AE197">
      <w:pPr>
        <w:bidi w:val="0"/>
        <w:rPr>
          <w:rFonts w:hint="default"/>
        </w:rPr>
      </w:pPr>
      <w:r>
        <w:rPr>
          <w:rFonts w:hint="default"/>
        </w:rPr>
        <w:t>开启缓存功能：如</w:t>
      </w:r>
      <w:r>
        <w:rPr>
          <w:rFonts w:hint="default" w:ascii="Arial" w:hAnsi="Arial" w:eastAsia="微软雅黑" w:cs="Arial"/>
          <w:i w:val="0"/>
          <w:iCs w:val="0"/>
          <w:caps w:val="0"/>
          <w:color w:val="auto"/>
          <w:spacing w:val="0"/>
          <w:szCs w:val="21"/>
          <w:u w:val="none"/>
          <w:shd w:val="clear" w:fill="FFFFFF"/>
          <w:vertAlign w:val="baseline"/>
          <w:lang w:val="en-US"/>
        </w:rPr>
        <w:t>图2-7</w:t>
      </w:r>
      <w:r>
        <w:rPr>
          <w:rFonts w:hint="default"/>
        </w:rPr>
        <w:t>所示，将文件数据先存入高速存储池，然后将文件数据当作已存放在存储系统中的数据，存储系统在指定时段对文件进行策略匹配和迁移工作。</w:t>
      </w:r>
    </w:p>
    <w:p w14:paraId="26FD5040">
      <w:pPr>
        <w:bidi w:val="0"/>
        <w:rPr>
          <w:rFonts w:hint="default"/>
        </w:rPr>
      </w:pPr>
      <w:bookmarkStart w:id="18" w:name="_Ref134189896"/>
      <w:r>
        <w:rPr>
          <w:rFonts w:hint="default"/>
          <w:lang w:val="en-US"/>
        </w:rPr>
        <w:t>图2-6 </w:t>
      </w:r>
      <w:bookmarkEnd w:id="18"/>
      <w:r>
        <w:rPr>
          <w:rFonts w:hint="default"/>
        </w:rPr>
        <w:t>分级存储流程（新写入文件）（一）</w:t>
      </w:r>
    </w:p>
    <w:p w14:paraId="010184DC">
      <w:pPr>
        <w:bidi w:val="0"/>
        <w:rPr>
          <w:rFonts w:hint="default"/>
        </w:rPr>
      </w:pPr>
      <w:bookmarkStart w:id="19" w:name="x_Img_x_png_5"/>
      <w:r>
        <w:rPr>
          <w:rFonts w:hint="eastAsia"/>
          <w:lang w:val="en-US"/>
        </w:rPr>
        <w:drawing>
          <wp:inline distT="0" distB="0" distL="114300" distR="114300">
            <wp:extent cx="1807210" cy="1671955"/>
            <wp:effectExtent l="0" t="0" r="8890" b="4445"/>
            <wp:docPr id="15" name="图片 15"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61"/>
                    <pic:cNvPicPr>
                      <a:picLocks noChangeAspect="1"/>
                    </pic:cNvPicPr>
                  </pic:nvPicPr>
                  <pic:blipFill>
                    <a:blip r:embed="rId12"/>
                    <a:stretch>
                      <a:fillRect/>
                    </a:stretch>
                  </pic:blipFill>
                  <pic:spPr>
                    <a:xfrm>
                      <a:off x="0" y="0"/>
                      <a:ext cx="1807210" cy="1671955"/>
                    </a:xfrm>
                    <a:prstGeom prst="rect">
                      <a:avLst/>
                    </a:prstGeom>
                    <a:noFill/>
                    <a:ln w="9525">
                      <a:noFill/>
                    </a:ln>
                  </pic:spPr>
                </pic:pic>
              </a:graphicData>
            </a:graphic>
          </wp:inline>
        </w:drawing>
      </w:r>
      <w:bookmarkEnd w:id="19"/>
    </w:p>
    <w:p w14:paraId="1B0CC548">
      <w:pPr>
        <w:bidi w:val="0"/>
        <w:rPr>
          <w:rFonts w:hint="default"/>
        </w:rPr>
      </w:pPr>
      <w:bookmarkStart w:id="20" w:name="_Ref135210931"/>
      <w:r>
        <w:rPr>
          <w:rFonts w:hint="default"/>
          <w:lang w:val="en-US"/>
        </w:rPr>
        <w:t>图2-7 </w:t>
      </w:r>
      <w:bookmarkEnd w:id="20"/>
      <w:r>
        <w:rPr>
          <w:rFonts w:hint="default"/>
        </w:rPr>
        <w:t>分级存储流程（新写入文件）（二）</w:t>
      </w:r>
    </w:p>
    <w:p w14:paraId="774C0E98">
      <w:pPr>
        <w:bidi w:val="0"/>
        <w:rPr>
          <w:rFonts w:hint="default"/>
        </w:rPr>
      </w:pPr>
      <w:bookmarkStart w:id="21" w:name="x_Img_x_png_6"/>
      <w:r>
        <w:rPr>
          <w:rFonts w:hint="eastAsia"/>
          <w:lang w:val="en-US"/>
        </w:rPr>
        <w:drawing>
          <wp:inline distT="0" distB="0" distL="114300" distR="114300">
            <wp:extent cx="1546225" cy="2165985"/>
            <wp:effectExtent l="0" t="0" r="3175" b="5715"/>
            <wp:docPr id="16"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descr="IMG_262"/>
                    <pic:cNvPicPr>
                      <a:picLocks noChangeAspect="1"/>
                    </pic:cNvPicPr>
                  </pic:nvPicPr>
                  <pic:blipFill>
                    <a:blip r:embed="rId13"/>
                    <a:stretch>
                      <a:fillRect/>
                    </a:stretch>
                  </pic:blipFill>
                  <pic:spPr>
                    <a:xfrm>
                      <a:off x="0" y="0"/>
                      <a:ext cx="1546225" cy="2165985"/>
                    </a:xfrm>
                    <a:prstGeom prst="rect">
                      <a:avLst/>
                    </a:prstGeom>
                    <a:noFill/>
                    <a:ln w="9525">
                      <a:noFill/>
                    </a:ln>
                  </pic:spPr>
                </pic:pic>
              </a:graphicData>
            </a:graphic>
          </wp:inline>
        </w:drawing>
      </w:r>
      <w:bookmarkEnd w:id="21"/>
    </w:p>
    <w:p w14:paraId="7D0BD925">
      <w:pPr>
        <w:bidi w:val="0"/>
        <w:rPr>
          <w:rFonts w:hint="default"/>
        </w:rPr>
      </w:pPr>
      <w:r>
        <w:rPr>
          <w:rFonts w:hint="eastAsia"/>
          <w:lang w:val="en-US" w:eastAsia="zh-CN"/>
        </w:rPr>
        <w:t> </w:t>
      </w:r>
    </w:p>
    <w:p w14:paraId="2ADBD32D">
      <w:pPr>
        <w:pStyle w:val="7"/>
        <w:numPr>
          <w:numId w:val="0"/>
        </w:numPr>
        <w:bidi w:val="0"/>
        <w:ind w:left="0" w:leftChars="0" w:firstLine="0" w:firstLineChars="0"/>
        <w:rPr>
          <w:rFonts w:hint="default"/>
        </w:rPr>
      </w:pPr>
      <w:bookmarkStart w:id="22" w:name="_Toc136011395"/>
      <w:r>
        <w:rPr>
          <w:rFonts w:hint="default" w:ascii="宋体" w:hAnsi="宋体" w:eastAsia="宋体" w:cs="宋体"/>
          <w:b/>
          <w:kern w:val="2"/>
          <w:sz w:val="28"/>
          <w:szCs w:val="30"/>
          <w:lang w:val="en-US" w:eastAsia="zh-CN" w:bidi="ar-SA"/>
        </w:rPr>
        <w:t>3.2.3.2.2.</w:t>
      </w:r>
      <w:r>
        <w:rPr>
          <w:rFonts w:hint="default"/>
        </w:rPr>
        <w:t>文件</w:t>
      </w:r>
      <w:r>
        <w:rPr>
          <w:rFonts w:hint="default" w:ascii="Arial" w:hAnsi="Arial"/>
        </w:rPr>
        <w:t>分级</w:t>
      </w:r>
      <w:r>
        <w:rPr>
          <w:rFonts w:hint="default"/>
        </w:rPr>
        <w:t>存储功能模块</w:t>
      </w:r>
      <w:bookmarkEnd w:id="22"/>
    </w:p>
    <w:p w14:paraId="24D27B81">
      <w:pPr>
        <w:bidi w:val="0"/>
        <w:rPr>
          <w:rFonts w:hint="default"/>
        </w:rPr>
      </w:pPr>
      <w:r>
        <w:rPr>
          <w:rFonts w:hint="eastAsia"/>
          <w:lang w:val="en-US" w:eastAsia="zh-CN"/>
        </w:rPr>
        <w:t>如</w:t>
      </w:r>
      <w:r>
        <w:rPr>
          <w:rFonts w:hint="eastAsia" w:ascii="微软雅黑" w:hAnsi="微软雅黑" w:eastAsia="微软雅黑" w:cs="微软雅黑"/>
          <w:i w:val="0"/>
          <w:iCs w:val="0"/>
          <w:caps w:val="0"/>
          <w:color w:val="auto"/>
          <w:spacing w:val="0"/>
          <w:szCs w:val="14"/>
          <w:u w:val="none"/>
          <w:shd w:val="clear" w:fill="FFFFFF"/>
          <w:vertAlign w:val="baseline"/>
          <w:lang w:val="en-US"/>
        </w:rPr>
        <w:t>图</w:t>
      </w:r>
      <w:r>
        <w:rPr>
          <w:rFonts w:hint="default" w:ascii="Arial" w:hAnsi="Arial" w:eastAsia="微软雅黑" w:cs="Arial"/>
          <w:i w:val="0"/>
          <w:iCs w:val="0"/>
          <w:caps w:val="0"/>
          <w:color w:val="auto"/>
          <w:spacing w:val="0"/>
          <w:szCs w:val="14"/>
          <w:u w:val="none"/>
          <w:shd w:val="clear" w:fill="FFFFFF"/>
          <w:vertAlign w:val="baseline"/>
          <w:lang w:val="en-US"/>
        </w:rPr>
        <w:t>2-8</w:t>
      </w:r>
      <w:r>
        <w:rPr>
          <w:rFonts w:hint="eastAsia"/>
          <w:lang w:val="en-US" w:eastAsia="zh-CN"/>
        </w:rPr>
        <w:t>所示，分布式存储所采用的文件分级存储技术可细分为文件布局策略配置、文件扫描和文件重条带化3个功能模块，每个功能模块又包含多个主要功能。</w:t>
      </w:r>
    </w:p>
    <w:p w14:paraId="6EEEAE5B">
      <w:pPr>
        <w:bidi w:val="0"/>
        <w:rPr>
          <w:rFonts w:hint="default"/>
        </w:rPr>
      </w:pPr>
      <w:bookmarkStart w:id="23" w:name="_Ref133596757"/>
      <w:r>
        <w:rPr>
          <w:rFonts w:hint="default"/>
          <w:lang w:val="en-US"/>
        </w:rPr>
        <w:t>图2-8 </w:t>
      </w:r>
      <w:r>
        <w:rPr>
          <w:rFonts w:hint="default"/>
        </w:rPr>
        <w:t>文件分级存储功能模块</w:t>
      </w:r>
      <w:bookmarkEnd w:id="23"/>
    </w:p>
    <w:p w14:paraId="4E105A76">
      <w:pPr>
        <w:bidi w:val="0"/>
        <w:rPr>
          <w:rFonts w:hint="default"/>
        </w:rPr>
      </w:pPr>
      <w:bookmarkStart w:id="24" w:name="x_Img_x_png_7"/>
      <w:r>
        <w:rPr>
          <w:rFonts w:hint="eastAsia"/>
          <w:lang w:val="en-US"/>
        </w:rPr>
        <w:drawing>
          <wp:inline distT="0" distB="0" distL="114300" distR="114300">
            <wp:extent cx="3390900" cy="2078355"/>
            <wp:effectExtent l="0" t="0" r="0" b="4445"/>
            <wp:docPr id="17"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descr="IMG_263"/>
                    <pic:cNvPicPr>
                      <a:picLocks noChangeAspect="1"/>
                    </pic:cNvPicPr>
                  </pic:nvPicPr>
                  <pic:blipFill>
                    <a:blip r:embed="rId14"/>
                    <a:stretch>
                      <a:fillRect/>
                    </a:stretch>
                  </pic:blipFill>
                  <pic:spPr>
                    <a:xfrm>
                      <a:off x="0" y="0"/>
                      <a:ext cx="3390900" cy="2078355"/>
                    </a:xfrm>
                    <a:prstGeom prst="rect">
                      <a:avLst/>
                    </a:prstGeom>
                    <a:noFill/>
                    <a:ln w="9525">
                      <a:noFill/>
                    </a:ln>
                  </pic:spPr>
                </pic:pic>
              </a:graphicData>
            </a:graphic>
          </wp:inline>
        </w:drawing>
      </w:r>
      <w:bookmarkEnd w:id="24"/>
    </w:p>
    <w:p w14:paraId="101BA861">
      <w:pPr>
        <w:bidi w:val="0"/>
        <w:rPr>
          <w:rFonts w:hint="default"/>
        </w:rPr>
      </w:pPr>
      <w:r>
        <w:rPr>
          <w:rFonts w:hint="default"/>
          <w:lang w:val="en-US"/>
        </w:rPr>
        <w:t>1. </w:t>
      </w:r>
      <w:r>
        <w:rPr>
          <w:rFonts w:hint="default"/>
        </w:rPr>
        <w:t>文件布局策略配置模块</w:t>
      </w:r>
    </w:p>
    <w:p w14:paraId="23CEFCD4">
      <w:pPr>
        <w:bidi w:val="0"/>
        <w:rPr>
          <w:rFonts w:hint="default"/>
        </w:rPr>
      </w:pPr>
      <w:r>
        <w:rPr>
          <w:rFonts w:hint="eastAsia"/>
          <w:lang w:val="en-US" w:eastAsia="zh-CN"/>
        </w:rPr>
        <w:t>文件布局策略是文件在存储系统中分布和迁移的依据，文件布局策略配置模块支持用户创建、查询、修改、删除文件布局策略，并更改文件布局策略的优先级。</w:t>
      </w:r>
    </w:p>
    <w:p w14:paraId="3A81C80E">
      <w:pPr>
        <w:bidi w:val="0"/>
        <w:rPr>
          <w:rFonts w:hint="default"/>
        </w:rPr>
      </w:pPr>
      <w:r>
        <w:rPr>
          <w:rFonts w:hint="eastAsia"/>
          <w:lang w:val="en-US" w:eastAsia="zh-CN"/>
        </w:rPr>
        <w:t>文件布局策略支持的依据项有创建时间、修改时间、最后访问时间、文件名、文件路径、文件大小、所属用户名/用户组名等。在一条文件布局策略中可配置多条依据项，匹配策略时，文件需同时满足一条策略中的所有依据项，才算匹配命中。</w:t>
      </w:r>
    </w:p>
    <w:p w14:paraId="2E8C09B1">
      <w:pPr>
        <w:bidi w:val="0"/>
        <w:rPr>
          <w:rFonts w:hint="default"/>
        </w:rPr>
      </w:pPr>
      <w:r>
        <w:rPr>
          <w:rFonts w:hint="default"/>
          <w:lang w:val="en-US"/>
        </w:rPr>
        <w:t>2. </w:t>
      </w:r>
      <w:r>
        <w:rPr>
          <w:rFonts w:hint="default"/>
        </w:rPr>
        <w:t>文件扫描模块</w:t>
      </w:r>
    </w:p>
    <w:p w14:paraId="03769695">
      <w:pPr>
        <w:bidi w:val="0"/>
        <w:rPr>
          <w:rFonts w:hint="default"/>
        </w:rPr>
      </w:pPr>
      <w:r>
        <w:rPr>
          <w:rFonts w:hint="eastAsia"/>
          <w:lang w:val="en-US" w:eastAsia="zh-CN"/>
        </w:rPr>
        <w:t>文件扫描模块用于按照文件布局策略将需要进行重条带化的文件筛选出来。文件扫描模块可细分为如下几个主要功能：</w:t>
      </w:r>
    </w:p>
    <w:p w14:paraId="04705779">
      <w:pPr>
        <w:bidi w:val="0"/>
        <w:rPr>
          <w:rFonts w:hint="default"/>
        </w:rPr>
      </w:pPr>
      <w:r>
        <w:rPr>
          <w:rFonts w:hint="default"/>
          <w:lang w:val="en-US"/>
        </w:rPr>
        <w:t>元数据扫描：</w:t>
      </w:r>
      <w:r>
        <w:rPr>
          <w:rFonts w:hint="default"/>
        </w:rPr>
        <w:t>在指定的工作时间内，自动以目录为单位扫描获取文件系统中的文件元数据。</w:t>
      </w:r>
    </w:p>
    <w:p w14:paraId="4379097C">
      <w:pPr>
        <w:bidi w:val="0"/>
        <w:rPr>
          <w:rFonts w:hint="default"/>
        </w:rPr>
      </w:pPr>
      <w:r>
        <w:rPr>
          <w:rFonts w:hint="default"/>
          <w:lang w:val="en-US"/>
        </w:rPr>
        <w:t>策略</w:t>
      </w:r>
      <w:r>
        <w:rPr>
          <w:rFonts w:hint="default"/>
        </w:rPr>
        <w:t>匹配</w:t>
      </w:r>
      <w:r>
        <w:rPr>
          <w:rFonts w:hint="default"/>
          <w:lang w:val="en-US"/>
        </w:rPr>
        <w:t>：</w:t>
      </w:r>
      <w:r>
        <w:rPr>
          <w:rFonts w:hint="default"/>
        </w:rPr>
        <w:t>按照优先级从高到低依次查找与文件匹配的文件布局策略，将需要进行重条带化的文件加入到重条带化队列中。</w:t>
      </w:r>
    </w:p>
    <w:p w14:paraId="54DE3472">
      <w:pPr>
        <w:bidi w:val="0"/>
        <w:rPr>
          <w:rFonts w:hint="default"/>
        </w:rPr>
      </w:pPr>
      <w:r>
        <w:rPr>
          <w:rFonts w:hint="default"/>
          <w:lang w:val="en-US"/>
        </w:rPr>
        <w:t>扫描控制：</w:t>
      </w:r>
      <w:r>
        <w:rPr>
          <w:rFonts w:hint="default"/>
        </w:rPr>
        <w:t>通过元数据池状态等信息计算出扫描带宽阈值，并定时对元数据扫描的带宽进行限制。同时判断文件所属原池和文件要迁入的目的池是否符合迁移条件。</w:t>
      </w:r>
    </w:p>
    <w:p w14:paraId="0736B906">
      <w:pPr>
        <w:bidi w:val="0"/>
        <w:rPr>
          <w:rFonts w:hint="default"/>
        </w:rPr>
      </w:pPr>
      <w:r>
        <w:rPr>
          <w:rFonts w:hint="default"/>
          <w:lang w:val="en-US"/>
        </w:rPr>
        <w:t>3. </w:t>
      </w:r>
      <w:r>
        <w:rPr>
          <w:rFonts w:hint="default"/>
        </w:rPr>
        <w:t>文件重条带化模块</w:t>
      </w:r>
    </w:p>
    <w:p w14:paraId="391B8A60">
      <w:pPr>
        <w:bidi w:val="0"/>
        <w:rPr>
          <w:rFonts w:hint="default"/>
        </w:rPr>
      </w:pPr>
      <w:r>
        <w:rPr>
          <w:rFonts w:hint="eastAsia"/>
          <w:lang w:val="en-US" w:eastAsia="zh-CN"/>
        </w:rPr>
        <w:t>文件重条带化模块用于将文件以重条带化的方式迁移至文件布局策略指定的存储池中。文件重条带化模块可细分为如下几个主要功能：</w:t>
      </w:r>
    </w:p>
    <w:p w14:paraId="502155B0">
      <w:pPr>
        <w:bidi w:val="0"/>
        <w:rPr>
          <w:rFonts w:hint="default"/>
        </w:rPr>
      </w:pPr>
      <w:r>
        <w:rPr>
          <w:rFonts w:hint="default"/>
          <w:lang w:val="en-US"/>
        </w:rPr>
        <w:t>重条带化</w:t>
      </w:r>
      <w:r>
        <w:rPr>
          <w:rFonts w:hint="default"/>
        </w:rPr>
        <w:t>控制</w:t>
      </w:r>
      <w:r>
        <w:rPr>
          <w:rFonts w:hint="default"/>
          <w:lang w:val="en-US"/>
        </w:rPr>
        <w:t>：</w:t>
      </w:r>
      <w:r>
        <w:rPr>
          <w:rFonts w:hint="default"/>
        </w:rPr>
        <w:t>根据当前流量信息对重条带化任务的下发进行控制。</w:t>
      </w:r>
    </w:p>
    <w:p w14:paraId="5C11C44D">
      <w:pPr>
        <w:bidi w:val="0"/>
        <w:rPr>
          <w:rFonts w:hint="default"/>
        </w:rPr>
      </w:pPr>
      <w:r>
        <w:rPr>
          <w:rFonts w:hint="default"/>
          <w:lang w:val="en-US"/>
        </w:rPr>
        <w:t>文件重条带化：</w:t>
      </w:r>
      <w:r>
        <w:rPr>
          <w:rFonts w:hint="default"/>
        </w:rPr>
        <w:t>在用户设定的工作时间内，对已下发重条带化任务的文件进行重条带化。</w:t>
      </w:r>
    </w:p>
    <w:p w14:paraId="39BD7D59">
      <w:pPr>
        <w:bidi w:val="0"/>
        <w:rPr>
          <w:rFonts w:hint="default"/>
        </w:rPr>
      </w:pPr>
      <w:r>
        <w:rPr>
          <w:rFonts w:hint="default"/>
          <w:lang w:val="en-US"/>
        </w:rPr>
        <w:t>数据清理：</w:t>
      </w:r>
      <w:r>
        <w:rPr>
          <w:rFonts w:hint="default"/>
        </w:rPr>
        <w:t>若文件重条带化成功，则清理该文件原所属存储池中的数据；若文件重条带化失败，则清理该文件目的存储池中的数据。</w:t>
      </w:r>
    </w:p>
    <w:p w14:paraId="04AA8017">
      <w:pPr>
        <w:bidi w:val="0"/>
        <w:rPr>
          <w:rFonts w:hint="default"/>
        </w:rPr>
      </w:pPr>
      <w:r>
        <w:rPr>
          <w:rFonts w:hint="default"/>
          <w:lang w:val="en-US"/>
        </w:rPr>
        <w:t>元数据更新：</w:t>
      </w:r>
      <w:r>
        <w:rPr>
          <w:rFonts w:hint="default"/>
        </w:rPr>
        <w:t>若文件重条带化成功，则更新该文件的元数据信息，将文件所属存储池更改为当前存储池；若文件重条带化失败，则该文件所属存储池不变，并返回错误信息。</w:t>
      </w:r>
    </w:p>
    <w:p w14:paraId="59187426">
      <w:pPr>
        <w:pStyle w:val="4"/>
        <w:numPr>
          <w:numId w:val="0"/>
        </w:numPr>
        <w:bidi w:val="0"/>
        <w:ind w:left="0" w:leftChars="0" w:firstLine="0" w:firstLineChars="0"/>
        <w:rPr>
          <w:rFonts w:hint="default"/>
          <w:lang w:val="en-US" w:eastAsia="zh-CN"/>
        </w:rPr>
      </w:pPr>
      <w:r>
        <w:rPr>
          <w:rFonts w:hint="default" w:ascii="宋体" w:hAnsi="宋体" w:eastAsia="宋体" w:cs="宋体"/>
          <w:b/>
          <w:kern w:val="2"/>
          <w:sz w:val="32"/>
          <w:szCs w:val="30"/>
          <w:lang w:val="en-US" w:eastAsia="zh-CN" w:bidi="ar-SA"/>
        </w:rPr>
        <w:t>3.3.</w:t>
      </w:r>
      <w:r>
        <w:rPr>
          <w:rFonts w:hint="eastAsia"/>
          <w:lang w:val="en-US" w:eastAsia="zh-CN"/>
        </w:rPr>
        <w:t>文件系统的</w:t>
      </w:r>
      <w:r>
        <w:rPr>
          <w:rFonts w:hint="default"/>
        </w:rPr>
        <w:t>负载均衡</w:t>
      </w:r>
    </w:p>
    <w:p w14:paraId="40E83607">
      <w:pPr>
        <w:pStyle w:val="6"/>
        <w:numPr>
          <w:numId w:val="0"/>
        </w:numPr>
        <w:bidi w:val="0"/>
        <w:ind w:left="0" w:leftChars="0" w:firstLine="0" w:firstLineChars="0"/>
      </w:pPr>
      <w:bookmarkStart w:id="25" w:name="_Toc60232896"/>
      <w:r>
        <w:rPr>
          <w:rFonts w:hint="default" w:ascii="宋体" w:hAnsi="宋体" w:eastAsia="宋体" w:cs="宋体"/>
          <w:b/>
          <w:kern w:val="2"/>
          <w:sz w:val="28"/>
          <w:szCs w:val="30"/>
          <w:lang w:val="en-US" w:eastAsia="zh-CN" w:bidi="ar-SA"/>
        </w:rPr>
        <w:t>3.3.1.1.</w:t>
      </w:r>
      <w:r>
        <w:rPr>
          <w:rFonts w:hint="default"/>
        </w:rPr>
        <w:t>负载均衡域名解析</w:t>
      </w:r>
      <w:bookmarkEnd w:id="25"/>
    </w:p>
    <w:p w14:paraId="052F70C4">
      <w:pPr>
        <w:bidi w:val="0"/>
        <w:rPr>
          <w:rFonts w:hint="default"/>
        </w:rPr>
      </w:pPr>
      <w:r>
        <w:rPr>
          <w:rFonts w:hint="default"/>
          <w:lang w:val="en-US" w:eastAsia="zh-CN"/>
        </w:rPr>
        <w:t>系统通过主</w:t>
      </w:r>
      <w:r>
        <w:rPr>
          <w:lang w:val="en-US" w:eastAsia="zh-CN"/>
        </w:rPr>
        <w:t>DNS</w:t>
      </w:r>
      <w:r>
        <w:rPr>
          <w:rFonts w:hint="eastAsia"/>
          <w:lang w:val="en-US" w:eastAsia="zh-CN"/>
        </w:rPr>
        <w:t>服务器为客户端提供全局域名解析服务</w:t>
      </w:r>
      <w:r>
        <w:rPr>
          <w:rFonts w:hint="default"/>
          <w:lang w:val="en-US" w:eastAsia="zh-CN"/>
        </w:rPr>
        <w:t>。</w:t>
      </w:r>
    </w:p>
    <w:p w14:paraId="3062B6D5">
      <w:pPr>
        <w:bidi w:val="0"/>
        <w:rPr>
          <w:rFonts w:hint="default"/>
        </w:rPr>
      </w:pPr>
      <w:r>
        <w:rPr>
          <w:rFonts w:hint="default"/>
          <w:lang w:val="en-US" w:eastAsia="zh-CN"/>
        </w:rPr>
        <w:t>系统将NAS组的动态业务IP地址分配给每个NAS服务器，同时将负载均衡DNS IP地址分配给主DNS服务器。主DNS服务器根据NAS组的负载均衡策略对客户端访问的全局域名进行策略性解析，然后将解析得到的动态业务IP地址返回给客户端，客户端与该动态业务IP地址对应的NAS服务器建立连接进行业务访问。</w:t>
      </w:r>
    </w:p>
    <w:p w14:paraId="12C4BCD1">
      <w:pPr>
        <w:bidi w:val="0"/>
        <w:rPr>
          <w:rFonts w:hint="default"/>
        </w:rPr>
      </w:pPr>
      <w:r>
        <w:rPr>
          <w:rFonts w:hint="default"/>
        </w:rPr>
        <w:t>(1)客户端Host A和Host B向主DNS服务器询问全局域名的IP地址。</w:t>
      </w:r>
    </w:p>
    <w:p w14:paraId="7AAC2D07">
      <w:pPr>
        <w:bidi w:val="0"/>
        <w:rPr>
          <w:rFonts w:hint="default"/>
        </w:rPr>
      </w:pPr>
      <w:r>
        <w:rPr>
          <w:rFonts w:hint="default"/>
        </w:rPr>
        <w:t>(2)主DNS服务器A根据全局域名解析NAS组名，根据该NAS组的负载均衡策略返回某个NAS服务器的动态业务IP地址。</w:t>
      </w:r>
    </w:p>
    <w:p w14:paraId="36CE5C3F">
      <w:pPr>
        <w:bidi w:val="0"/>
        <w:rPr>
          <w:rFonts w:hint="default"/>
        </w:rPr>
      </w:pPr>
      <w:r>
        <w:rPr>
          <w:rFonts w:hint="default"/>
        </w:rPr>
        <w:t>(3)客户端Host A和Host B收到各自解析后的动态业务IP地址后，与对应地址的NAS服务器之间建立连接，进行业务请求和响应。</w:t>
      </w:r>
    </w:p>
    <w:p w14:paraId="4158C4EF">
      <w:pPr>
        <w:pStyle w:val="6"/>
        <w:numPr>
          <w:numId w:val="0"/>
        </w:numPr>
        <w:bidi w:val="0"/>
        <w:ind w:left="0" w:leftChars="0" w:firstLine="0" w:firstLineChars="0"/>
        <w:rPr>
          <w:rFonts w:hint="default"/>
        </w:rPr>
      </w:pPr>
      <w:bookmarkStart w:id="26" w:name="_Toc60232897"/>
      <w:r>
        <w:rPr>
          <w:rFonts w:hint="default" w:ascii="宋体" w:hAnsi="宋体" w:eastAsia="宋体" w:cs="宋体"/>
          <w:b/>
          <w:kern w:val="2"/>
          <w:sz w:val="28"/>
          <w:szCs w:val="30"/>
          <w:lang w:val="en-US" w:eastAsia="zh-CN" w:bidi="ar-SA"/>
        </w:rPr>
        <w:t>3.3.1.2.</w:t>
      </w:r>
      <w:r>
        <w:rPr>
          <w:rFonts w:hint="default"/>
        </w:rPr>
        <w:t xml:space="preserve"> NAS</w:t>
      </w:r>
      <w:bookmarkEnd w:id="26"/>
      <w:r>
        <w:rPr>
          <w:rFonts w:hint="default"/>
        </w:rPr>
        <w:t>服务器故障切换</w:t>
      </w:r>
    </w:p>
    <w:p w14:paraId="4BBB528C">
      <w:pPr>
        <w:bidi w:val="0"/>
        <w:rPr>
          <w:rFonts w:hint="default"/>
        </w:rPr>
      </w:pPr>
      <w:r>
        <w:rPr>
          <w:rFonts w:hint="default"/>
          <w:lang w:val="en-US" w:eastAsia="zh-CN"/>
        </w:rPr>
        <w:t>通过NAS服务器故障切换机制，保证了在NAS服务器出现故障时客户端业务不中断。</w:t>
      </w:r>
    </w:p>
    <w:p w14:paraId="51085B4B">
      <w:pPr>
        <w:bidi w:val="0"/>
        <w:rPr>
          <w:rFonts w:hint="default"/>
        </w:rPr>
      </w:pPr>
      <w:r>
        <w:rPr>
          <w:rFonts w:hint="default"/>
        </w:rPr>
        <w:t>(1)正常情况下，Host A与域名解析返回的NAS服务器A进行业务交互。</w:t>
      </w:r>
    </w:p>
    <w:p w14:paraId="5B3C32EE">
      <w:pPr>
        <w:bidi w:val="0"/>
        <w:rPr>
          <w:rFonts w:hint="default"/>
        </w:rPr>
      </w:pPr>
      <w:r>
        <w:rPr>
          <w:rFonts w:hint="default"/>
        </w:rPr>
        <w:t>(2)当与客户端建立连接的NAS服务器A发生故障而失效时，系统将收回NAS服务器A的动态IP地址，将其分配给正常工作的NAS服务器B。</w:t>
      </w:r>
    </w:p>
    <w:p w14:paraId="13BCF54A">
      <w:pPr>
        <w:bidi w:val="0"/>
        <w:rPr>
          <w:rFonts w:hint="default"/>
        </w:rPr>
      </w:pPr>
      <w:r>
        <w:rPr>
          <w:rFonts w:hint="default"/>
        </w:rPr>
        <w:t>(3)由于动态业务IP地址仍然有效，Host A可以继续通过之前的动态业务IP地址访问业务，保证在线业务不中断。</w:t>
      </w:r>
    </w:p>
    <w:p w14:paraId="72E9ABE0">
      <w:pPr>
        <w:bidi w:val="0"/>
        <w:rPr>
          <w:rFonts w:hint="default"/>
        </w:rPr>
      </w:pPr>
      <w:r>
        <w:rPr>
          <w:rFonts w:hint="default"/>
        </w:rPr>
        <w:t>(4)后续若故障NAS服务器恢复正常，其动态业务IP地址将进行重新分配。</w:t>
      </w:r>
    </w:p>
    <w:p w14:paraId="75DD6E20">
      <w:pPr>
        <w:pStyle w:val="6"/>
        <w:numPr>
          <w:numId w:val="0"/>
        </w:numPr>
        <w:bidi w:val="0"/>
        <w:ind w:left="0" w:leftChars="0" w:firstLine="0" w:firstLineChars="0"/>
        <w:rPr>
          <w:rFonts w:hint="default"/>
        </w:rPr>
      </w:pPr>
      <w:bookmarkStart w:id="27" w:name="_Toc60232898"/>
      <w:r>
        <w:rPr>
          <w:rFonts w:hint="default" w:ascii="宋体" w:hAnsi="宋体" w:eastAsia="宋体" w:cs="宋体"/>
          <w:b/>
          <w:kern w:val="2"/>
          <w:sz w:val="28"/>
          <w:szCs w:val="30"/>
          <w:lang w:val="en-US" w:eastAsia="zh-CN" w:bidi="ar-SA"/>
        </w:rPr>
        <w:t>3.3.1.3.</w:t>
      </w:r>
      <w:r>
        <w:rPr>
          <w:rFonts w:hint="default"/>
        </w:rPr>
        <w:t xml:space="preserve"> DNS</w:t>
      </w:r>
      <w:bookmarkEnd w:id="27"/>
      <w:r>
        <w:rPr>
          <w:rFonts w:hint="default"/>
        </w:rPr>
        <w:t>服务器主备倒换</w:t>
      </w:r>
    </w:p>
    <w:p w14:paraId="76152CFF">
      <w:pPr>
        <w:bidi w:val="0"/>
        <w:rPr>
          <w:rFonts w:hint="default"/>
        </w:rPr>
      </w:pPr>
      <w:r>
        <w:rPr>
          <w:rFonts w:hint="default"/>
          <w:lang w:val="en-US" w:eastAsia="zh-CN"/>
        </w:rPr>
        <w:t>通过DNS服务器主备倒换机制，保证了在某台DNS服务器出现故障时，域名解析服务不会受到影响。</w:t>
      </w:r>
    </w:p>
    <w:p w14:paraId="7DF0102C">
      <w:pPr>
        <w:bidi w:val="0"/>
        <w:rPr>
          <w:rFonts w:hint="default"/>
        </w:rPr>
      </w:pPr>
    </w:p>
    <w:p w14:paraId="7A13D7F8">
      <w:pPr>
        <w:bidi w:val="0"/>
        <w:rPr>
          <w:rFonts w:hint="default"/>
        </w:rPr>
      </w:pPr>
      <w:r>
        <w:rPr>
          <w:rFonts w:hint="default"/>
          <w:lang w:val="en-US" w:eastAsia="zh-CN"/>
        </w:rPr>
        <w:t> </w:t>
      </w:r>
    </w:p>
    <w:p w14:paraId="21EFD6D0">
      <w:pPr>
        <w:bidi w:val="0"/>
        <w:rPr>
          <w:rFonts w:hint="default"/>
        </w:rPr>
      </w:pPr>
      <w:r>
        <w:rPr>
          <w:rFonts w:hint="default"/>
        </w:rPr>
        <w:t>(1)当主DNS服务器出现故障时，将进行DNS服务器主备倒换，DNS服务器B将成为主DNS服务器。</w:t>
      </w:r>
    </w:p>
    <w:p w14:paraId="47E63262">
      <w:pPr>
        <w:bidi w:val="0"/>
        <w:rPr>
          <w:rFonts w:hint="default"/>
        </w:rPr>
      </w:pPr>
      <w:r>
        <w:rPr>
          <w:rFonts w:hint="default"/>
        </w:rPr>
        <w:t>(2)系统将前期分配给DNS服务器A的负载均衡</w:t>
      </w:r>
      <w:r>
        <w:rPr>
          <w:rFonts w:hint="default"/>
          <w:lang w:val="en-US"/>
        </w:rPr>
        <w:t>DNS IP</w:t>
      </w:r>
      <w:r>
        <w:rPr>
          <w:rFonts w:hint="eastAsia"/>
        </w:rPr>
        <w:t>收回，并将其重新分配给</w:t>
      </w:r>
      <w:r>
        <w:rPr>
          <w:rFonts w:hint="default"/>
        </w:rPr>
        <w:t>新的主DNS服务器B。</w:t>
      </w:r>
    </w:p>
    <w:p w14:paraId="7739AF6B">
      <w:pPr>
        <w:bidi w:val="0"/>
        <w:rPr>
          <w:rFonts w:hint="default"/>
        </w:rPr>
      </w:pPr>
      <w:r>
        <w:rPr>
          <w:rFonts w:hint="default"/>
        </w:rPr>
        <w:t>(3)客户端</w:t>
      </w:r>
      <w:r>
        <w:rPr>
          <w:rFonts w:hint="default"/>
          <w:lang w:val="en-US"/>
        </w:rPr>
        <w:t>Host C</w:t>
      </w:r>
      <w:r>
        <w:rPr>
          <w:rFonts w:hint="eastAsia"/>
        </w:rPr>
        <w:t>在向</w:t>
      </w:r>
      <w:r>
        <w:rPr>
          <w:rFonts w:hint="default"/>
          <w:lang w:val="en-US"/>
        </w:rPr>
        <w:t>DNS IP</w:t>
      </w:r>
      <w:r>
        <w:rPr>
          <w:rFonts w:hint="default"/>
        </w:rPr>
        <w:t>地址请求域名解析服务时，</w:t>
      </w:r>
      <w:r>
        <w:rPr>
          <w:rFonts w:hint="default"/>
          <w:lang w:val="en-US"/>
        </w:rPr>
        <w:t>DNS</w:t>
      </w:r>
      <w:r>
        <w:rPr>
          <w:rFonts w:hint="default"/>
        </w:rPr>
        <w:t>服务器</w:t>
      </w:r>
      <w:r>
        <w:rPr>
          <w:rFonts w:hint="default"/>
          <w:lang w:val="en-US"/>
        </w:rPr>
        <w:t>B</w:t>
      </w:r>
      <w:r>
        <w:rPr>
          <w:rFonts w:hint="default"/>
        </w:rPr>
        <w:t>将进行响应，向</w:t>
      </w:r>
      <w:r>
        <w:rPr>
          <w:rFonts w:hint="default"/>
          <w:lang w:val="en-US"/>
        </w:rPr>
        <w:t>Host C</w:t>
      </w:r>
      <w:r>
        <w:rPr>
          <w:rFonts w:hint="eastAsia"/>
        </w:rPr>
        <w:t>返回解析后的动态业务</w:t>
      </w:r>
      <w:r>
        <w:rPr>
          <w:rFonts w:hint="default"/>
          <w:lang w:val="en-US"/>
        </w:rPr>
        <w:t>IP</w:t>
      </w:r>
      <w:r>
        <w:rPr>
          <w:rFonts w:hint="default"/>
        </w:rPr>
        <w:t>地址，从而保证域名解析业务不中断。</w:t>
      </w:r>
    </w:p>
    <w:p w14:paraId="344646AE">
      <w:pPr>
        <w:bidi w:val="0"/>
        <w:rPr>
          <w:rFonts w:hint="default"/>
        </w:rPr>
      </w:pPr>
      <w:r>
        <w:rPr>
          <w:rFonts w:hint="default"/>
        </w:rPr>
        <w:t>(4)后续若故障的</w:t>
      </w:r>
      <w:r>
        <w:rPr>
          <w:rFonts w:hint="default"/>
          <w:lang w:val="en-US"/>
        </w:rPr>
        <w:t>DNS</w:t>
      </w:r>
      <w:r>
        <w:rPr>
          <w:rFonts w:hint="eastAsia"/>
        </w:rPr>
        <w:t>服务器</w:t>
      </w:r>
      <w:r>
        <w:rPr>
          <w:rFonts w:hint="default"/>
          <w:lang w:val="en-US"/>
        </w:rPr>
        <w:t>A</w:t>
      </w:r>
      <w:r>
        <w:rPr>
          <w:rFonts w:hint="default"/>
        </w:rPr>
        <w:t>恢复正常，系统不会立即触发</w:t>
      </w:r>
      <w:r>
        <w:rPr>
          <w:rFonts w:hint="default"/>
          <w:lang w:val="en-US"/>
        </w:rPr>
        <w:t>DNS</w:t>
      </w:r>
      <w:r>
        <w:rPr>
          <w:rFonts w:hint="default"/>
        </w:rPr>
        <w:t>服务器主备倒换操作，需待当前主</w:t>
      </w:r>
      <w:r>
        <w:rPr>
          <w:rFonts w:hint="default"/>
          <w:lang w:val="en-US"/>
        </w:rPr>
        <w:t>DNS</w:t>
      </w:r>
      <w:r>
        <w:rPr>
          <w:rFonts w:hint="eastAsia"/>
        </w:rPr>
        <w:t>出现故障时才会再次进行主备倒换。</w:t>
      </w:r>
    </w:p>
    <w:p w14:paraId="2038FFE2">
      <w:pPr>
        <w:pStyle w:val="6"/>
        <w:numPr>
          <w:numId w:val="0"/>
        </w:numPr>
        <w:bidi w:val="0"/>
        <w:ind w:left="0" w:leftChars="0" w:firstLine="0" w:firstLineChars="0"/>
      </w:pPr>
      <w:bookmarkStart w:id="28" w:name="_Toc60232899"/>
      <w:r>
        <w:rPr>
          <w:rFonts w:hint="default" w:ascii="宋体" w:hAnsi="宋体" w:eastAsia="宋体" w:cs="宋体"/>
          <w:b/>
          <w:kern w:val="2"/>
          <w:sz w:val="28"/>
          <w:szCs w:val="30"/>
          <w:lang w:val="en-US" w:eastAsia="zh-CN" w:bidi="ar-SA"/>
        </w:rPr>
        <w:t>3.3.1.4.</w:t>
      </w:r>
      <w:r>
        <w:rPr>
          <w:rFonts w:hint="default"/>
        </w:rPr>
        <w:t xml:space="preserve"> 配置任务概览</w:t>
      </w:r>
      <w:bookmarkEnd w:id="28"/>
    </w:p>
    <w:p w14:paraId="7134793D">
      <w:pPr>
        <w:bidi w:val="0"/>
        <w:rPr>
          <w:rFonts w:hint="default"/>
        </w:rPr>
      </w:pPr>
      <w:r>
        <w:rPr>
          <w:rFonts w:hint="default"/>
        </w:rPr>
        <w:t>表8-1 配置任务概览</w:t>
      </w:r>
    </w:p>
    <w:tbl>
      <w:tblPr>
        <w:tblStyle w:val="13"/>
        <w:tblW w:w="83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323"/>
        <w:gridCol w:w="1377"/>
        <w:gridCol w:w="5665"/>
      </w:tblGrid>
      <w:tr w14:paraId="2F504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8" w:hRule="atLeast"/>
          <w:tblHeader/>
        </w:trPr>
        <w:tc>
          <w:tcPr>
            <w:tcW w:w="2773" w:type="dxa"/>
            <w:gridSpan w:val="2"/>
            <w:tcBorders>
              <w:top w:val="single" w:color="auto" w:sz="8" w:space="0"/>
              <w:left w:val="nil"/>
              <w:bottom w:val="single" w:color="808080" w:sz="8" w:space="0"/>
              <w:right w:val="single" w:color="808080" w:sz="8" w:space="0"/>
            </w:tcBorders>
            <w:shd w:val="clear" w:color="auto" w:fill="D9D9D9"/>
            <w:tcMar>
              <w:left w:w="108" w:type="dxa"/>
              <w:right w:w="108" w:type="dxa"/>
            </w:tcMar>
            <w:vAlign w:val="top"/>
          </w:tcPr>
          <w:p w14:paraId="2C5A56B7">
            <w:pPr>
              <w:bidi w:val="0"/>
              <w:rPr>
                <w:rFonts w:hint="default"/>
              </w:rPr>
            </w:pPr>
            <w:r>
              <w:rPr>
                <w:rFonts w:hint="default"/>
              </w:rPr>
              <w:t>配置任务</w:t>
            </w:r>
          </w:p>
        </w:tc>
        <w:tc>
          <w:tcPr>
            <w:tcW w:w="6241" w:type="dxa"/>
            <w:tcBorders>
              <w:top w:val="single" w:color="auto" w:sz="8" w:space="0"/>
              <w:left w:val="nil"/>
              <w:bottom w:val="single" w:color="808080" w:sz="8" w:space="0"/>
              <w:right w:val="nil"/>
            </w:tcBorders>
            <w:shd w:val="clear" w:color="auto" w:fill="D9D9D9"/>
            <w:tcMar>
              <w:left w:w="108" w:type="dxa"/>
              <w:right w:w="108" w:type="dxa"/>
            </w:tcMar>
            <w:vAlign w:val="top"/>
          </w:tcPr>
          <w:p w14:paraId="4EA1D4DF">
            <w:pPr>
              <w:bidi w:val="0"/>
              <w:rPr>
                <w:rFonts w:hint="default"/>
              </w:rPr>
            </w:pPr>
            <w:r>
              <w:rPr>
                <w:rFonts w:hint="default"/>
              </w:rPr>
              <w:t>说明</w:t>
            </w:r>
          </w:p>
        </w:tc>
      </w:tr>
      <w:tr w14:paraId="2742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2773" w:type="dxa"/>
            <w:gridSpan w:val="2"/>
            <w:tcBorders>
              <w:top w:val="nil"/>
              <w:left w:val="nil"/>
              <w:bottom w:val="single" w:color="808080" w:sz="8" w:space="0"/>
              <w:right w:val="single" w:color="808080" w:sz="8" w:space="0"/>
            </w:tcBorders>
            <w:shd w:val="clear" w:color="auto" w:fill="auto"/>
            <w:tcMar>
              <w:left w:w="108" w:type="dxa"/>
              <w:right w:w="108" w:type="dxa"/>
            </w:tcMar>
            <w:vAlign w:val="top"/>
          </w:tcPr>
          <w:p w14:paraId="767EA4D9">
            <w:pPr>
              <w:bidi w:val="0"/>
              <w:rPr>
                <w:rFonts w:hint="default"/>
              </w:rPr>
            </w:pPr>
            <w:r>
              <w:rPr>
                <w:rFonts w:hint="default"/>
              </w:rPr>
              <w:t>创建负载均衡</w:t>
            </w:r>
          </w:p>
        </w:tc>
        <w:tc>
          <w:tcPr>
            <w:tcW w:w="6241" w:type="dxa"/>
            <w:tcBorders>
              <w:top w:val="nil"/>
              <w:left w:val="nil"/>
              <w:bottom w:val="single" w:color="808080" w:sz="8" w:space="0"/>
              <w:right w:val="nil"/>
            </w:tcBorders>
            <w:shd w:val="clear" w:color="auto" w:fill="auto"/>
            <w:tcMar>
              <w:left w:w="108" w:type="dxa"/>
              <w:right w:w="108" w:type="dxa"/>
            </w:tcMar>
            <w:vAlign w:val="top"/>
          </w:tcPr>
          <w:p w14:paraId="523F065E">
            <w:pPr>
              <w:bidi w:val="0"/>
              <w:rPr>
                <w:rFonts w:hint="default"/>
              </w:rPr>
            </w:pPr>
            <w:r>
              <w:rPr>
                <w:rFonts w:hint="default"/>
              </w:rPr>
              <w:t>用于创建负载均衡，负载均衡仅允许创建一个</w:t>
            </w:r>
          </w:p>
        </w:tc>
      </w:tr>
      <w:tr w14:paraId="0E42C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1356" w:type="dxa"/>
            <w:vMerge w:val="restart"/>
            <w:tcBorders>
              <w:top w:val="nil"/>
              <w:left w:val="nil"/>
              <w:bottom w:val="single" w:color="auto" w:sz="8" w:space="0"/>
              <w:right w:val="single" w:color="808080" w:sz="8" w:space="0"/>
            </w:tcBorders>
            <w:shd w:val="clear" w:color="auto" w:fill="auto"/>
            <w:tcMar>
              <w:left w:w="108" w:type="dxa"/>
              <w:right w:w="108" w:type="dxa"/>
            </w:tcMar>
            <w:vAlign w:val="top"/>
          </w:tcPr>
          <w:p w14:paraId="0253561A">
            <w:pPr>
              <w:bidi w:val="0"/>
              <w:rPr>
                <w:rFonts w:hint="default"/>
              </w:rPr>
            </w:pPr>
            <w:r>
              <w:rPr>
                <w:rFonts w:hint="default"/>
              </w:rPr>
              <w:t>管理负载均衡</w:t>
            </w:r>
          </w:p>
        </w:tc>
        <w:tc>
          <w:tcPr>
            <w:tcW w:w="1417" w:type="dxa"/>
            <w:tcBorders>
              <w:top w:val="nil"/>
              <w:left w:val="nil"/>
              <w:bottom w:val="single" w:color="808080" w:sz="8" w:space="0"/>
              <w:right w:val="single" w:color="808080" w:sz="8" w:space="0"/>
            </w:tcBorders>
            <w:shd w:val="clear" w:color="auto" w:fill="auto"/>
            <w:tcMar>
              <w:left w:w="108" w:type="dxa"/>
              <w:right w:w="108" w:type="dxa"/>
            </w:tcMar>
            <w:vAlign w:val="top"/>
          </w:tcPr>
          <w:p w14:paraId="707BE72E">
            <w:pPr>
              <w:bidi w:val="0"/>
              <w:rPr>
                <w:rFonts w:hint="default"/>
              </w:rPr>
            </w:pPr>
            <w:r>
              <w:rPr>
                <w:rFonts w:hint="default"/>
              </w:rPr>
              <w:t>修改负载均衡</w:t>
            </w:r>
          </w:p>
        </w:tc>
        <w:tc>
          <w:tcPr>
            <w:tcW w:w="6241" w:type="dxa"/>
            <w:tcBorders>
              <w:top w:val="nil"/>
              <w:left w:val="nil"/>
              <w:bottom w:val="single" w:color="808080" w:sz="8" w:space="0"/>
              <w:right w:val="nil"/>
            </w:tcBorders>
            <w:shd w:val="clear" w:color="auto" w:fill="auto"/>
            <w:tcMar>
              <w:left w:w="108" w:type="dxa"/>
              <w:right w:w="108" w:type="dxa"/>
            </w:tcMar>
            <w:vAlign w:val="top"/>
          </w:tcPr>
          <w:p w14:paraId="1A75F27F">
            <w:pPr>
              <w:bidi w:val="0"/>
              <w:rPr>
                <w:rFonts w:hint="default"/>
              </w:rPr>
            </w:pPr>
            <w:r>
              <w:rPr>
                <w:rFonts w:hint="default"/>
              </w:rPr>
              <w:t>用于修改负载均衡的域名与DNS IP</w:t>
            </w:r>
          </w:p>
        </w:tc>
      </w:tr>
      <w:tr w14:paraId="67414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5" w:hRule="atLeast"/>
        </w:trPr>
        <w:tc>
          <w:tcPr>
            <w:tcW w:w="1356" w:type="dxa"/>
            <w:vMerge w:val="continue"/>
            <w:tcBorders>
              <w:top w:val="nil"/>
              <w:left w:val="nil"/>
              <w:bottom w:val="single" w:color="auto" w:sz="8" w:space="0"/>
              <w:right w:val="single" w:color="808080" w:sz="8" w:space="0"/>
            </w:tcBorders>
            <w:shd w:val="clear" w:color="auto" w:fill="auto"/>
            <w:tcMar>
              <w:left w:w="108" w:type="dxa"/>
              <w:right w:w="108" w:type="dxa"/>
            </w:tcMar>
            <w:vAlign w:val="top"/>
          </w:tcPr>
          <w:p w14:paraId="4348A41E">
            <w:pPr>
              <w:bidi w:val="0"/>
              <w:rPr>
                <w:rFonts w:hint="eastAsia"/>
              </w:rPr>
            </w:pPr>
          </w:p>
        </w:tc>
        <w:tc>
          <w:tcPr>
            <w:tcW w:w="1417" w:type="dxa"/>
            <w:tcBorders>
              <w:top w:val="nil"/>
              <w:left w:val="nil"/>
              <w:bottom w:val="single" w:color="auto" w:sz="8" w:space="0"/>
              <w:right w:val="single" w:color="808080" w:sz="8" w:space="0"/>
            </w:tcBorders>
            <w:shd w:val="clear" w:color="auto" w:fill="auto"/>
            <w:tcMar>
              <w:left w:w="108" w:type="dxa"/>
              <w:right w:w="108" w:type="dxa"/>
            </w:tcMar>
            <w:vAlign w:val="top"/>
          </w:tcPr>
          <w:p w14:paraId="7263444B">
            <w:pPr>
              <w:bidi w:val="0"/>
              <w:rPr>
                <w:rFonts w:hint="default"/>
              </w:rPr>
            </w:pPr>
            <w:r>
              <w:rPr>
                <w:rFonts w:hint="default"/>
              </w:rPr>
              <w:t>删除负载均衡</w:t>
            </w:r>
          </w:p>
        </w:tc>
        <w:tc>
          <w:tcPr>
            <w:tcW w:w="6241" w:type="dxa"/>
            <w:tcBorders>
              <w:top w:val="nil"/>
              <w:left w:val="nil"/>
              <w:bottom w:val="single" w:color="auto" w:sz="8" w:space="0"/>
              <w:right w:val="nil"/>
            </w:tcBorders>
            <w:shd w:val="clear" w:color="auto" w:fill="auto"/>
            <w:tcMar>
              <w:left w:w="108" w:type="dxa"/>
              <w:right w:w="108" w:type="dxa"/>
            </w:tcMar>
            <w:vAlign w:val="top"/>
          </w:tcPr>
          <w:p w14:paraId="3C6ABD27">
            <w:pPr>
              <w:bidi w:val="0"/>
              <w:rPr>
                <w:rFonts w:hint="default"/>
              </w:rPr>
            </w:pPr>
            <w:r>
              <w:rPr>
                <w:rFonts w:hint="default"/>
              </w:rPr>
              <w:t>用于删除NAS组的负载均衡</w:t>
            </w:r>
          </w:p>
        </w:tc>
      </w:tr>
    </w:tbl>
    <w:p w14:paraId="23D79FBB">
      <w:pPr>
        <w:bidi w:val="0"/>
      </w:pPr>
    </w:p>
    <w:p w14:paraId="02CD2710">
      <w:pPr>
        <w:pStyle w:val="4"/>
        <w:numPr>
          <w:numId w:val="0"/>
        </w:numPr>
        <w:bidi w:val="0"/>
        <w:ind w:left="0" w:leftChars="0" w:firstLine="0" w:firstLineChars="0"/>
      </w:pPr>
      <w:r>
        <w:rPr>
          <w:rFonts w:hint="default" w:ascii="宋体" w:hAnsi="宋体" w:eastAsia="宋体" w:cs="宋体"/>
          <w:b/>
          <w:kern w:val="2"/>
          <w:sz w:val="32"/>
          <w:szCs w:val="30"/>
          <w:lang w:val="en-US" w:eastAsia="zh-CN" w:bidi="ar-SA"/>
        </w:rPr>
        <w:t>3.4.</w:t>
      </w:r>
      <w:r>
        <w:rPr>
          <w:rFonts w:hint="default"/>
        </w:rPr>
        <w:t>文件存储快照</w:t>
      </w:r>
    </w:p>
    <w:p w14:paraId="351F0358">
      <w:pPr>
        <w:pStyle w:val="6"/>
        <w:numPr>
          <w:numId w:val="0"/>
        </w:numPr>
        <w:bidi w:val="0"/>
        <w:ind w:left="0" w:leftChars="0" w:firstLine="0" w:firstLineChars="0"/>
        <w:rPr>
          <w:rFonts w:hint="default"/>
        </w:rPr>
      </w:pPr>
      <w:bookmarkStart w:id="29" w:name="_Toc60232750"/>
      <w:r>
        <w:rPr>
          <w:rFonts w:hint="default" w:ascii="宋体" w:hAnsi="宋体" w:eastAsia="宋体" w:cs="宋体"/>
          <w:b/>
          <w:kern w:val="2"/>
          <w:sz w:val="28"/>
          <w:szCs w:val="30"/>
          <w:lang w:val="en-US" w:eastAsia="zh-CN" w:bidi="ar-SA"/>
        </w:rPr>
        <w:t>3.4.1.1.</w:t>
      </w:r>
      <w:r>
        <w:rPr>
          <w:rFonts w:hint="default"/>
        </w:rPr>
        <w:t>简介</w:t>
      </w:r>
      <w:bookmarkEnd w:id="29"/>
    </w:p>
    <w:p w14:paraId="510C21C1">
      <w:pPr>
        <w:bidi w:val="0"/>
        <w:rPr>
          <w:rFonts w:hint="default"/>
        </w:rPr>
      </w:pPr>
      <w:bookmarkStart w:id="30" w:name="_Toc475721478"/>
      <w:bookmarkEnd w:id="30"/>
      <w:bookmarkStart w:id="31" w:name="_Toc475717538"/>
      <w:bookmarkEnd w:id="31"/>
      <w:bookmarkStart w:id="32" w:name="_Toc475717482"/>
      <w:bookmarkEnd w:id="32"/>
      <w:bookmarkStart w:id="33" w:name="_Toc475717558"/>
      <w:bookmarkEnd w:id="33"/>
      <w:r>
        <w:rPr>
          <w:rFonts w:hint="default"/>
          <w:lang w:val="en-US" w:eastAsia="zh-CN"/>
        </w:rPr>
        <w:t>文件存储快照特性为用户提供了基于目录的快照，支持生成指定目录在特定时间点的一致性映像，同时可以在不中断业务的情况下，得到与原文件一致的数据副本。</w:t>
      </w:r>
    </w:p>
    <w:p w14:paraId="66825F9C">
      <w:pPr>
        <w:bidi w:val="0"/>
        <w:rPr>
          <w:rFonts w:hint="default"/>
        </w:rPr>
      </w:pPr>
      <w:r>
        <w:rPr>
          <w:rFonts w:hint="default"/>
          <w:lang w:val="en-US" w:eastAsia="zh-CN"/>
        </w:rPr>
        <w:t>文件存储快照特性可以满足用户进行在线数据恢复需求，当存储设备发生应用故障或文件损坏时，可以进行即时数据恢复，将数据恢复成快照生成时间点的状态。</w:t>
      </w:r>
    </w:p>
    <w:p w14:paraId="7979B6AE">
      <w:pPr>
        <w:pStyle w:val="6"/>
        <w:numPr>
          <w:numId w:val="0"/>
        </w:numPr>
        <w:bidi w:val="0"/>
        <w:ind w:left="0" w:leftChars="0" w:firstLine="0" w:firstLineChars="0"/>
        <w:rPr>
          <w:rFonts w:hint="default"/>
        </w:rPr>
      </w:pPr>
      <w:bookmarkStart w:id="34" w:name="_Toc60232751"/>
      <w:r>
        <w:rPr>
          <w:rFonts w:hint="default" w:ascii="宋体" w:hAnsi="宋体" w:eastAsia="宋体" w:cs="宋体"/>
          <w:b/>
          <w:kern w:val="2"/>
          <w:sz w:val="28"/>
          <w:szCs w:val="30"/>
          <w:lang w:val="en-US" w:eastAsia="zh-CN" w:bidi="ar-SA"/>
        </w:rPr>
        <w:t>3.4.1.2.</w:t>
      </w:r>
      <w:r>
        <w:rPr>
          <w:rFonts w:hint="default"/>
        </w:rPr>
        <w:t>概念与原理</w:t>
      </w:r>
      <w:bookmarkEnd w:id="34"/>
    </w:p>
    <w:p w14:paraId="4B3E7125">
      <w:pPr>
        <w:bidi w:val="0"/>
        <w:rPr>
          <w:rFonts w:hint="default"/>
        </w:rPr>
      </w:pPr>
      <w:r>
        <w:rPr>
          <w:rFonts w:hint="default"/>
          <w:lang w:val="en-US" w:eastAsia="zh-CN"/>
        </w:rPr>
        <w:t>快照有COW（Copy On Write，写时复制）和ROW（Redirect On Write，写重定向）两种实现方式。</w:t>
      </w:r>
    </w:p>
    <w:p w14:paraId="0224BA64">
      <w:pPr>
        <w:bidi w:val="0"/>
      </w:pPr>
    </w:p>
    <w:p w14:paraId="0DAEF63A">
      <w:pPr>
        <w:pStyle w:val="7"/>
        <w:numPr>
          <w:numId w:val="0"/>
        </w:numPr>
        <w:bidi w:val="0"/>
        <w:ind w:left="0" w:leftChars="0" w:firstLine="0" w:firstLineChars="0"/>
      </w:pPr>
      <w:bookmarkStart w:id="35" w:name="_Toc60232752"/>
      <w:r>
        <w:rPr>
          <w:rFonts w:hint="default" w:ascii="宋体" w:hAnsi="宋体" w:eastAsia="宋体" w:cs="宋体"/>
          <w:b/>
          <w:kern w:val="2"/>
          <w:sz w:val="28"/>
          <w:szCs w:val="30"/>
          <w:lang w:val="en-US" w:eastAsia="zh-CN" w:bidi="ar-SA"/>
        </w:rPr>
        <w:t>3.4.1.2.1.</w:t>
      </w:r>
      <w:r>
        <w:rPr>
          <w:rFonts w:hint="default"/>
        </w:rPr>
        <w:t xml:space="preserve"> COW</w:t>
      </w:r>
      <w:bookmarkEnd w:id="35"/>
    </w:p>
    <w:p w14:paraId="31C9DC11">
      <w:pPr>
        <w:bidi w:val="0"/>
        <w:rPr>
          <w:rFonts w:hint="default"/>
        </w:rPr>
      </w:pPr>
      <w:r>
        <w:rPr>
          <w:rFonts w:hint="default"/>
          <w:lang w:val="en-US" w:eastAsia="zh-CN"/>
        </w:rPr>
        <w:t>如</w:t>
      </w:r>
      <w:r>
        <w:rPr>
          <w:rFonts w:hint="default" w:ascii="Arial" w:hAnsi="Arial" w:cs="Arial"/>
          <w:i w:val="0"/>
          <w:iCs w:val="0"/>
          <w:caps w:val="0"/>
          <w:color w:val="0000FF"/>
          <w:spacing w:val="0"/>
          <w:szCs w:val="14"/>
          <w:u w:val="none"/>
          <w:shd w:val="clear" w:fill="FFFFFF"/>
          <w:vertAlign w:val="baseline"/>
        </w:rPr>
        <w:t>图9-1</w:t>
      </w:r>
      <w:r>
        <w:rPr>
          <w:rFonts w:hint="default"/>
          <w:lang w:val="en-US" w:eastAsia="zh-CN"/>
        </w:rPr>
        <w:t>所示，给文件打一个快照时，只是将快照的指针指向了文件的对应对象。在对文件初次写时，若修改1、2、3对象，则先将1、2、3对象拷贝到一个新的位置，并把快照的指针指向新位置中的1、2、3，然后将新数据11、12、13写入原先的对象中。</w:t>
      </w:r>
    </w:p>
    <w:p w14:paraId="67AAA9AE">
      <w:pPr>
        <w:bidi w:val="0"/>
        <w:rPr>
          <w:rFonts w:hint="default"/>
        </w:rPr>
      </w:pPr>
      <w:r>
        <w:rPr>
          <w:rFonts w:hint="default"/>
          <w:lang w:val="en-US" w:eastAsia="zh-CN"/>
        </w:rPr>
        <w:t>COW方式的执行步骤为：</w:t>
      </w:r>
    </w:p>
    <w:p w14:paraId="51FFC196">
      <w:pPr>
        <w:bidi w:val="0"/>
        <w:rPr>
          <w:rFonts w:hint="default"/>
        </w:rPr>
      </w:pPr>
      <w:r>
        <w:rPr>
          <w:rFonts w:hint="default"/>
        </w:rPr>
        <w:t>(1)读修改的原对象数据。</w:t>
      </w:r>
    </w:p>
    <w:p w14:paraId="3071A77C">
      <w:pPr>
        <w:bidi w:val="0"/>
        <w:rPr>
          <w:rFonts w:hint="default"/>
        </w:rPr>
      </w:pPr>
      <w:r>
        <w:rPr>
          <w:rFonts w:hint="default"/>
        </w:rPr>
        <w:t>(2)将原对象数据写入新对象。</w:t>
      </w:r>
    </w:p>
    <w:p w14:paraId="097F6C20">
      <w:pPr>
        <w:bidi w:val="0"/>
        <w:rPr>
          <w:rFonts w:hint="default"/>
        </w:rPr>
      </w:pPr>
      <w:r>
        <w:rPr>
          <w:rFonts w:hint="default"/>
        </w:rPr>
        <w:t>(3)将更新数据写入原对象。</w:t>
      </w:r>
    </w:p>
    <w:p w14:paraId="21EE5E28">
      <w:pPr>
        <w:bidi w:val="0"/>
        <w:rPr>
          <w:rFonts w:hint="default"/>
        </w:rPr>
      </w:pPr>
      <w:r>
        <w:rPr>
          <w:rFonts w:hint="default"/>
          <w:lang w:val="en-US" w:eastAsia="zh-CN"/>
        </w:rPr>
        <w:t>由此可以看出，COW方式需要1次读、2次写，写性能较差。若原数据是连续的，在多次写之后，新数据仍然是连续的，因此对读性能或对单个位置的多次写性能影响不大。而快照数据是非连续的，多次不同位置的读写后，快照数据的读写延时会增大。</w:t>
      </w:r>
    </w:p>
    <w:p w14:paraId="306F7E95">
      <w:pPr>
        <w:bidi w:val="0"/>
        <w:rPr>
          <w:rFonts w:hint="default"/>
        </w:rPr>
      </w:pPr>
      <w:bookmarkStart w:id="36" w:name="_Ref514144914"/>
      <w:r>
        <w:rPr>
          <w:rFonts w:hint="default"/>
        </w:rPr>
        <w:t>图9-1 COW</w:t>
      </w:r>
      <w:bookmarkEnd w:id="36"/>
      <w:r>
        <w:rPr>
          <w:rFonts w:hint="default"/>
        </w:rPr>
        <w:t>方式</w:t>
      </w:r>
    </w:p>
    <w:p w14:paraId="74FACC1F">
      <w:pPr>
        <w:bidi w:val="0"/>
      </w:pPr>
      <w:r>
        <w:drawing>
          <wp:inline distT="0" distB="0" distL="114300" distR="114300">
            <wp:extent cx="3383915" cy="1814830"/>
            <wp:effectExtent l="0" t="0" r="6985" b="1270"/>
            <wp:docPr id="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0"/>
                    <pic:cNvPicPr>
                      <a:picLocks noChangeAspect="1"/>
                    </pic:cNvPicPr>
                  </pic:nvPicPr>
                  <pic:blipFill>
                    <a:blip r:embed="rId15"/>
                    <a:stretch>
                      <a:fillRect/>
                    </a:stretch>
                  </pic:blipFill>
                  <pic:spPr>
                    <a:xfrm>
                      <a:off x="0" y="0"/>
                      <a:ext cx="3383915" cy="1814830"/>
                    </a:xfrm>
                    <a:prstGeom prst="rect">
                      <a:avLst/>
                    </a:prstGeom>
                    <a:noFill/>
                    <a:ln>
                      <a:noFill/>
                    </a:ln>
                  </pic:spPr>
                </pic:pic>
              </a:graphicData>
            </a:graphic>
          </wp:inline>
        </w:drawing>
      </w:r>
    </w:p>
    <w:p w14:paraId="124172C6">
      <w:pPr>
        <w:pStyle w:val="7"/>
        <w:numPr>
          <w:numId w:val="0"/>
        </w:numPr>
        <w:bidi w:val="0"/>
        <w:ind w:left="0" w:leftChars="0" w:firstLine="0" w:firstLineChars="0"/>
      </w:pPr>
      <w:bookmarkStart w:id="37" w:name="_Toc60232753"/>
      <w:r>
        <w:rPr>
          <w:rFonts w:hint="default" w:ascii="宋体" w:hAnsi="宋体" w:eastAsia="宋体" w:cs="宋体"/>
          <w:b/>
          <w:kern w:val="2"/>
          <w:sz w:val="28"/>
          <w:szCs w:val="30"/>
          <w:lang w:val="en-US" w:eastAsia="zh-CN" w:bidi="ar-SA"/>
        </w:rPr>
        <w:t>3.4.1.2.2.</w:t>
      </w:r>
      <w:r>
        <w:rPr>
          <w:rFonts w:hint="default"/>
        </w:rPr>
        <w:t>ROW</w:t>
      </w:r>
      <w:bookmarkEnd w:id="37"/>
    </w:p>
    <w:p w14:paraId="2F0E8A7D">
      <w:pPr>
        <w:bidi w:val="0"/>
        <w:rPr>
          <w:rFonts w:hint="default"/>
        </w:rPr>
      </w:pPr>
      <w:r>
        <w:rPr>
          <w:rFonts w:hint="default"/>
          <w:lang w:val="en-US" w:eastAsia="zh-CN"/>
        </w:rPr>
        <w:t>如</w:t>
      </w:r>
      <w:r>
        <w:rPr>
          <w:rFonts w:hint="default" w:ascii="Arial" w:hAnsi="Arial" w:cs="Arial"/>
          <w:i w:val="0"/>
          <w:iCs w:val="0"/>
          <w:caps w:val="0"/>
          <w:color w:val="0000FF"/>
          <w:spacing w:val="0"/>
          <w:szCs w:val="14"/>
          <w:u w:val="none"/>
          <w:shd w:val="clear" w:fill="FFFFFF"/>
          <w:vertAlign w:val="baseline"/>
        </w:rPr>
        <w:t>图9-2</w:t>
      </w:r>
      <w:r>
        <w:rPr>
          <w:rFonts w:hint="default"/>
          <w:lang w:val="en-US" w:eastAsia="zh-CN"/>
        </w:rPr>
        <w:t>所示，一个文件指向1～9对象，给一个文件打快照时，快照也指向同样的对象。当有数据写入时，若修改1、2、3对象，则直接将新数据写入新的位置11、12、13，并修改原文件索引指向新位置的11、12、13，快照的指向不变。</w:t>
      </w:r>
    </w:p>
    <w:p w14:paraId="5DCB96A4">
      <w:pPr>
        <w:bidi w:val="0"/>
        <w:rPr>
          <w:rFonts w:hint="default"/>
        </w:rPr>
      </w:pPr>
      <w:r>
        <w:rPr>
          <w:rFonts w:hint="default"/>
          <w:lang w:val="en-US" w:eastAsia="zh-CN"/>
        </w:rPr>
        <w:t>ROW方式的执行步骤为：</w:t>
      </w:r>
    </w:p>
    <w:p w14:paraId="61FD9C96">
      <w:pPr>
        <w:bidi w:val="0"/>
        <w:rPr>
          <w:rFonts w:hint="default"/>
        </w:rPr>
      </w:pPr>
      <w:r>
        <w:rPr>
          <w:rFonts w:hint="default"/>
        </w:rPr>
        <w:t>(1)将更新数据写入新对象。</w:t>
      </w:r>
    </w:p>
    <w:p w14:paraId="23C3704B">
      <w:pPr>
        <w:bidi w:val="0"/>
        <w:rPr>
          <w:rFonts w:hint="default"/>
        </w:rPr>
      </w:pPr>
      <w:r>
        <w:rPr>
          <w:rFonts w:hint="default"/>
        </w:rPr>
        <w:t>(2)更新地址映射表指针。</w:t>
      </w:r>
    </w:p>
    <w:p w14:paraId="5E7A6DB9">
      <w:pPr>
        <w:bidi w:val="0"/>
        <w:rPr>
          <w:rFonts w:hint="default"/>
        </w:rPr>
      </w:pPr>
      <w:r>
        <w:rPr>
          <w:rFonts w:hint="default"/>
          <w:lang w:val="en-US" w:eastAsia="zh-CN"/>
        </w:rPr>
        <w:t>由此可以看出，ROW方式仅需1次写，写性能好，但读取数据时需要多次寻址，读性能较差。在多次写之后，数据会被分配到不同的位置，连续读写性能不如COW。</w:t>
      </w:r>
    </w:p>
    <w:p w14:paraId="6A56771E">
      <w:pPr>
        <w:bidi w:val="0"/>
        <w:rPr>
          <w:rFonts w:hint="default"/>
        </w:rPr>
      </w:pPr>
      <w:bookmarkStart w:id="38" w:name="_Ref514160674"/>
      <w:r>
        <w:rPr>
          <w:rFonts w:hint="default"/>
        </w:rPr>
        <w:t>图9-2 ROW</w:t>
      </w:r>
      <w:bookmarkEnd w:id="38"/>
      <w:r>
        <w:rPr>
          <w:rFonts w:hint="default"/>
        </w:rPr>
        <w:t>方式</w:t>
      </w:r>
    </w:p>
    <w:p w14:paraId="0B364E5D">
      <w:pPr>
        <w:pStyle w:val="2"/>
        <w:rPr>
          <w:rFonts w:hint="default"/>
        </w:rPr>
      </w:pPr>
      <w:r>
        <w:drawing>
          <wp:inline distT="0" distB="0" distL="114300" distR="114300">
            <wp:extent cx="3382010" cy="1584960"/>
            <wp:effectExtent l="0" t="0" r="8890" b="2540"/>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16"/>
                    <a:stretch>
                      <a:fillRect/>
                    </a:stretch>
                  </pic:blipFill>
                  <pic:spPr>
                    <a:xfrm>
                      <a:off x="0" y="0"/>
                      <a:ext cx="3382010" cy="1584960"/>
                    </a:xfrm>
                    <a:prstGeom prst="rect">
                      <a:avLst/>
                    </a:prstGeom>
                    <a:noFill/>
                    <a:ln>
                      <a:noFill/>
                    </a:ln>
                  </pic:spPr>
                </pic:pic>
              </a:graphicData>
            </a:graphic>
          </wp:inline>
        </w:drawing>
      </w:r>
    </w:p>
    <w:p w14:paraId="412F38E0">
      <w:pPr>
        <w:pStyle w:val="6"/>
        <w:numPr>
          <w:numId w:val="0"/>
        </w:numPr>
        <w:bidi w:val="0"/>
        <w:ind w:left="0" w:leftChars="0" w:firstLine="0" w:firstLineChars="0"/>
      </w:pPr>
      <w:bookmarkStart w:id="39" w:name="_Toc60232754"/>
      <w:r>
        <w:rPr>
          <w:rFonts w:hint="default" w:ascii="宋体" w:hAnsi="宋体" w:eastAsia="宋体" w:cs="宋体"/>
          <w:b/>
          <w:kern w:val="2"/>
          <w:sz w:val="28"/>
          <w:szCs w:val="30"/>
          <w:lang w:val="en-US" w:eastAsia="zh-CN" w:bidi="ar-SA"/>
        </w:rPr>
        <w:t>3.4.1.3.</w:t>
      </w:r>
      <w:r>
        <w:rPr>
          <w:rFonts w:hint="default"/>
        </w:rPr>
        <w:t>文件系统快照</w:t>
      </w:r>
      <w:bookmarkEnd w:id="39"/>
    </w:p>
    <w:p w14:paraId="14D059E4">
      <w:pPr>
        <w:bidi w:val="0"/>
        <w:rPr>
          <w:rFonts w:hint="default"/>
        </w:rPr>
      </w:pPr>
      <w:r>
        <w:rPr>
          <w:rFonts w:hint="default"/>
          <w:lang w:val="en-US" w:eastAsia="zh-CN"/>
        </w:rPr>
        <w:t>文件系统的快照数据分为元数据和数据，以对象的形式分别存在元数据池和数据池中。而元数据还会缓存在MDS端，以提升访问速度。因此，文件系统快照包括MDS层快照实现和OSD层快照实现两方面。</w:t>
      </w:r>
    </w:p>
    <w:p w14:paraId="7DD50B23">
      <w:pPr>
        <w:bidi w:val="0"/>
        <w:rPr>
          <w:rFonts w:hint="default"/>
        </w:rPr>
      </w:pPr>
      <w:r>
        <w:rPr>
          <w:lang w:val="en-US"/>
        </w:rPr>
        <w:t>·</w:t>
      </w:r>
      <w:r>
        <w:rPr>
          <w:rFonts w:hint="default"/>
        </w:rPr>
        <w:t>MDS层快照实现：采用COW方式。当前文件系统提供目录级的快照，保护目录下的所有文件及子目录。在给目录创建快照时，只是标记、修改目录的最新快照号，所以响应非常快。刚创建的快照与原始文件共享同一份元数据。当原始文件的元数据发生变化时，先拷贝旧元数据，然后更新原始文件的元数据。</w:t>
      </w:r>
    </w:p>
    <w:p w14:paraId="4B558734">
      <w:pPr>
        <w:bidi w:val="0"/>
        <w:rPr>
          <w:rFonts w:hint="default"/>
        </w:rPr>
      </w:pPr>
      <w:r>
        <w:rPr>
          <w:rFonts w:hint="default"/>
          <w:lang w:val="en-US"/>
        </w:rPr>
        <w:t>·</w:t>
      </w:r>
      <w:r>
        <w:rPr>
          <w:rFonts w:hint="default"/>
        </w:rPr>
        <w:t>OSD层快照实现：采用ROW方式。原始文件打快照后，当文件数据被修改时，会将新数据直接写入新的对象，并修改地址映射表的指针。</w:t>
      </w:r>
    </w:p>
    <w:p w14:paraId="13F39636">
      <w:pPr>
        <w:pStyle w:val="7"/>
        <w:numPr>
          <w:numId w:val="0"/>
        </w:numPr>
        <w:bidi w:val="0"/>
        <w:ind w:left="0" w:leftChars="0" w:firstLine="0" w:firstLineChars="0"/>
        <w:rPr>
          <w:rFonts w:hint="default"/>
        </w:rPr>
      </w:pPr>
      <w:bookmarkStart w:id="40" w:name="_Toc60232755"/>
      <w:r>
        <w:rPr>
          <w:rFonts w:hint="default" w:ascii="宋体" w:hAnsi="宋体" w:eastAsia="宋体" w:cs="宋体"/>
          <w:b/>
          <w:kern w:val="2"/>
          <w:sz w:val="28"/>
          <w:szCs w:val="30"/>
          <w:lang w:val="en-US" w:eastAsia="zh-CN" w:bidi="ar-SA"/>
        </w:rPr>
        <w:t>3.4.1.3.1.</w:t>
      </w:r>
      <w:r>
        <w:rPr>
          <w:rFonts w:hint="default"/>
        </w:rPr>
        <w:t>目录级快照</w:t>
      </w:r>
      <w:bookmarkEnd w:id="40"/>
    </w:p>
    <w:p w14:paraId="430759A2">
      <w:pPr>
        <w:bidi w:val="0"/>
        <w:rPr>
          <w:rFonts w:hint="default"/>
        </w:rPr>
      </w:pPr>
      <w:r>
        <w:rPr>
          <w:rFonts w:hint="default"/>
          <w:lang w:val="en-US" w:eastAsia="zh-CN"/>
        </w:rPr>
        <w:t>用户可以按需对指定的目录创建快照，进行数据保护。目前单个目录最多支持创建1024个快照，整个文件系统最多支持</w:t>
      </w:r>
      <w:r>
        <w:rPr>
          <w:rFonts w:hint="eastAsia"/>
          <w:lang w:val="en-US" w:eastAsia="zh-CN"/>
        </w:rPr>
        <w:t>4096</w:t>
      </w:r>
      <w:r>
        <w:rPr>
          <w:rFonts w:hint="default"/>
          <w:lang w:val="en-US" w:eastAsia="zh-CN"/>
        </w:rPr>
        <w:t>个快照。</w:t>
      </w:r>
    </w:p>
    <w:p w14:paraId="36C60435">
      <w:pPr>
        <w:pStyle w:val="7"/>
        <w:numPr>
          <w:numId w:val="0"/>
        </w:numPr>
        <w:bidi w:val="0"/>
        <w:ind w:left="0" w:leftChars="0" w:firstLine="0" w:firstLineChars="0"/>
        <w:rPr>
          <w:rFonts w:hint="default"/>
        </w:rPr>
      </w:pPr>
      <w:bookmarkStart w:id="41" w:name="_Toc60232756"/>
      <w:r>
        <w:rPr>
          <w:rFonts w:hint="default" w:ascii="宋体" w:hAnsi="宋体" w:eastAsia="宋体" w:cs="宋体"/>
          <w:b/>
          <w:kern w:val="2"/>
          <w:sz w:val="28"/>
          <w:szCs w:val="30"/>
          <w:lang w:val="en-US" w:eastAsia="zh-CN" w:bidi="ar-SA"/>
        </w:rPr>
        <w:t>3.4.1.3.2.</w:t>
      </w:r>
      <w:r>
        <w:rPr>
          <w:rFonts w:hint="default"/>
        </w:rPr>
        <w:t>秒级快照</w:t>
      </w:r>
      <w:bookmarkEnd w:id="41"/>
    </w:p>
    <w:p w14:paraId="3D35DB06">
      <w:pPr>
        <w:bidi w:val="0"/>
        <w:rPr>
          <w:rFonts w:hint="default"/>
        </w:rPr>
      </w:pPr>
      <w:r>
        <w:rPr>
          <w:rFonts w:hint="default"/>
          <w:lang w:val="en-US" w:eastAsia="zh-CN"/>
        </w:rPr>
        <w:t>对目录打快照的操作一般不到1秒，而且不会导致业务中断，这极大地方便了用户对数据进行快速备份。</w:t>
      </w:r>
    </w:p>
    <w:p w14:paraId="7A1180FA">
      <w:pPr>
        <w:pStyle w:val="7"/>
        <w:numPr>
          <w:numId w:val="0"/>
        </w:numPr>
        <w:bidi w:val="0"/>
        <w:ind w:left="0" w:leftChars="0" w:firstLine="0" w:firstLineChars="0"/>
        <w:rPr>
          <w:rFonts w:hint="default"/>
        </w:rPr>
      </w:pPr>
      <w:bookmarkStart w:id="42" w:name="_Toc60232757"/>
      <w:r>
        <w:rPr>
          <w:rFonts w:hint="default" w:ascii="宋体" w:hAnsi="宋体" w:eastAsia="宋体" w:cs="宋体"/>
          <w:b/>
          <w:kern w:val="2"/>
          <w:sz w:val="28"/>
          <w:szCs w:val="30"/>
          <w:lang w:val="en-US" w:eastAsia="zh-CN" w:bidi="ar-SA"/>
        </w:rPr>
        <w:t>3.4.1.3.3.</w:t>
      </w:r>
      <w:r>
        <w:rPr>
          <w:rFonts w:hint="default"/>
        </w:rPr>
        <w:t>定时快照任务</w:t>
      </w:r>
      <w:bookmarkEnd w:id="42"/>
    </w:p>
    <w:p w14:paraId="69412FF1">
      <w:pPr>
        <w:bidi w:val="0"/>
        <w:rPr>
          <w:rFonts w:hint="default"/>
        </w:rPr>
      </w:pPr>
      <w:r>
        <w:rPr>
          <w:rFonts w:hint="default"/>
          <w:lang w:val="en-US" w:eastAsia="zh-CN"/>
        </w:rPr>
        <w:t>UniStor提供了对指定目录创建自动快照任务的功能。用户可以按需对指定目录创建每天、每周或每月，精确到分钟的定时快照任务，对重要数据定期备份。同时还可以配置定时快照的过期时间，系统会对过期的快照进行自动删除。目前单个目录最多支持创建6个定时快照任务。</w:t>
      </w:r>
    </w:p>
    <w:p w14:paraId="78E80BB6">
      <w:pPr>
        <w:pStyle w:val="6"/>
        <w:numPr>
          <w:numId w:val="0"/>
        </w:numPr>
        <w:bidi w:val="0"/>
        <w:ind w:left="0" w:leftChars="0" w:firstLine="0" w:firstLineChars="0"/>
        <w:rPr>
          <w:rFonts w:hint="default"/>
        </w:rPr>
      </w:pPr>
      <w:bookmarkStart w:id="43" w:name="_Toc60232758"/>
      <w:r>
        <w:rPr>
          <w:rFonts w:hint="default" w:ascii="宋体" w:hAnsi="宋体" w:eastAsia="宋体" w:cs="宋体"/>
          <w:b/>
          <w:kern w:val="2"/>
          <w:sz w:val="28"/>
          <w:szCs w:val="30"/>
          <w:lang w:val="en-US" w:eastAsia="zh-CN" w:bidi="ar-SA"/>
        </w:rPr>
        <w:t>3.4.1.4.</w:t>
      </w:r>
      <w:r>
        <w:rPr>
          <w:rFonts w:hint="default"/>
        </w:rPr>
        <w:t>快照还原（仅Windows</w:t>
      </w:r>
      <w:bookmarkEnd w:id="43"/>
      <w:r>
        <w:rPr>
          <w:rFonts w:hint="default"/>
        </w:rPr>
        <w:t>）</w:t>
      </w:r>
    </w:p>
    <w:p w14:paraId="40AE8F69">
      <w:pPr>
        <w:bidi w:val="0"/>
        <w:rPr>
          <w:rFonts w:hint="default"/>
        </w:rPr>
      </w:pPr>
      <w:r>
        <w:rPr>
          <w:rFonts w:hint="default"/>
          <w:lang w:val="en-US" w:eastAsia="zh-CN"/>
        </w:rPr>
        <w:t>UniStor提供了简洁的快照访问方式，如</w:t>
      </w:r>
      <w:r>
        <w:rPr>
          <w:rFonts w:hint="default"/>
          <w:lang w:val="en-US" w:eastAsia="zh-CN"/>
        </w:rPr>
        <w:fldChar w:fldCharType="begin"/>
      </w:r>
      <w:r>
        <w:rPr>
          <w:rFonts w:hint="default"/>
          <w:lang w:val="en-US" w:eastAsia="zh-CN"/>
        </w:rPr>
        <w:instrText xml:space="preserve"> HYPERLINK "https://www.h3c.com/cn/d_202102/1382495_30005_0.htm" \l "_Ref514247290" </w:instrText>
      </w:r>
      <w:r>
        <w:rPr>
          <w:rFonts w:hint="default"/>
          <w:lang w:val="en-US" w:eastAsia="zh-CN"/>
        </w:rPr>
        <w:fldChar w:fldCharType="separate"/>
      </w:r>
      <w:r>
        <w:rPr>
          <w:rStyle w:val="16"/>
          <w:rFonts w:hint="default" w:ascii="Arial" w:hAnsi="Arial" w:cs="Arial"/>
          <w:i w:val="0"/>
          <w:iCs w:val="0"/>
          <w:caps w:val="0"/>
          <w:color w:val="0000FF"/>
          <w:spacing w:val="0"/>
          <w:szCs w:val="14"/>
          <w:u w:val="single"/>
          <w:shd w:val="clear" w:fill="FFFFFF"/>
          <w:vertAlign w:val="baseline"/>
        </w:rPr>
        <w:t>图9-3</w:t>
      </w:r>
      <w:r>
        <w:rPr>
          <w:rFonts w:hint="default"/>
          <w:lang w:val="en-US" w:eastAsia="zh-CN"/>
        </w:rPr>
        <w:fldChar w:fldCharType="end"/>
      </w:r>
      <w:r>
        <w:rPr>
          <w:rFonts w:hint="default"/>
          <w:lang w:val="en-US" w:eastAsia="zh-CN"/>
        </w:rPr>
        <w:t>所示，Windows用户可以通过右键单击目录，选择属性，在弹出的属性对话框“以前的版本”页签中查看该目录已存在的快照及内容。若用户需要对数据进行恢复，可以通过Windows VSS服务来快速实现。</w:t>
      </w:r>
    </w:p>
    <w:p w14:paraId="2C1F68BD">
      <w:pPr>
        <w:bidi w:val="0"/>
        <w:rPr>
          <w:rFonts w:hint="default"/>
        </w:rPr>
      </w:pPr>
      <w:bookmarkStart w:id="44" w:name="_Ref514247290"/>
      <w:r>
        <w:rPr>
          <w:rFonts w:hint="default"/>
        </w:rPr>
        <w:t>图9-3 Windows</w:t>
      </w:r>
      <w:bookmarkEnd w:id="44"/>
      <w:r>
        <w:rPr>
          <w:rFonts w:hint="default"/>
        </w:rPr>
        <w:t>下快照访问和还原</w:t>
      </w:r>
    </w:p>
    <w:p w14:paraId="6BA75442">
      <w:pPr>
        <w:bidi w:val="0"/>
      </w:pPr>
      <w:r>
        <w:drawing>
          <wp:inline distT="0" distB="0" distL="114300" distR="114300">
            <wp:extent cx="2267585" cy="2668270"/>
            <wp:effectExtent l="0" t="0" r="5715" b="1143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17"/>
                    <a:stretch>
                      <a:fillRect/>
                    </a:stretch>
                  </pic:blipFill>
                  <pic:spPr>
                    <a:xfrm>
                      <a:off x="0" y="0"/>
                      <a:ext cx="2267585" cy="2668270"/>
                    </a:xfrm>
                    <a:prstGeom prst="rect">
                      <a:avLst/>
                    </a:prstGeom>
                    <a:noFill/>
                    <a:ln>
                      <a:noFill/>
                    </a:ln>
                  </pic:spPr>
                </pic:pic>
              </a:graphicData>
            </a:graphic>
          </wp:inline>
        </w:drawing>
      </w:r>
    </w:p>
    <w:p w14:paraId="76711FCF">
      <w:pPr>
        <w:bidi w:val="0"/>
      </w:pPr>
      <w:bookmarkStart w:id="45" w:name="_Toc60232759"/>
      <w:r>
        <w:rPr>
          <w:rFonts w:hint="default"/>
        </w:rPr>
        <w:t>配置任务概览</w:t>
      </w:r>
      <w:bookmarkEnd w:id="45"/>
    </w:p>
    <w:p w14:paraId="6926BEB4">
      <w:pPr>
        <w:bidi w:val="0"/>
        <w:rPr>
          <w:rFonts w:hint="default"/>
        </w:rPr>
      </w:pPr>
      <w:r>
        <w:rPr>
          <w:rFonts w:hint="default"/>
        </w:rPr>
        <w:t>表9-1 配置任务概览</w:t>
      </w:r>
    </w:p>
    <w:tbl>
      <w:tblPr>
        <w:tblStyle w:val="13"/>
        <w:tblW w:w="83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253"/>
        <w:gridCol w:w="1982"/>
        <w:gridCol w:w="4130"/>
      </w:tblGrid>
      <w:tr w14:paraId="773B2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 w:hRule="atLeast"/>
          <w:tblHeader/>
        </w:trPr>
        <w:tc>
          <w:tcPr>
            <w:tcW w:w="4477" w:type="dxa"/>
            <w:gridSpan w:val="2"/>
            <w:tcBorders>
              <w:top w:val="single" w:color="auto" w:sz="8" w:space="0"/>
              <w:left w:val="nil"/>
              <w:bottom w:val="single" w:color="808080" w:sz="8" w:space="0"/>
              <w:right w:val="single" w:color="808080" w:sz="8" w:space="0"/>
            </w:tcBorders>
            <w:shd w:val="clear" w:color="auto" w:fill="D9D9D9"/>
            <w:tcMar>
              <w:left w:w="108" w:type="dxa"/>
              <w:right w:w="108" w:type="dxa"/>
            </w:tcMar>
            <w:vAlign w:val="top"/>
          </w:tcPr>
          <w:p w14:paraId="09845AD0">
            <w:pPr>
              <w:bidi w:val="0"/>
              <w:rPr>
                <w:rFonts w:hint="default"/>
              </w:rPr>
            </w:pPr>
            <w:r>
              <w:rPr>
                <w:rFonts w:hint="default"/>
              </w:rPr>
              <w:t>配置任务</w:t>
            </w:r>
          </w:p>
        </w:tc>
        <w:tc>
          <w:tcPr>
            <w:tcW w:w="4533" w:type="dxa"/>
            <w:tcBorders>
              <w:top w:val="single" w:color="auto" w:sz="8" w:space="0"/>
              <w:left w:val="nil"/>
              <w:bottom w:val="single" w:color="808080" w:sz="8" w:space="0"/>
              <w:right w:val="nil"/>
            </w:tcBorders>
            <w:shd w:val="clear" w:color="auto" w:fill="D9D9D9"/>
            <w:tcMar>
              <w:left w:w="108" w:type="dxa"/>
              <w:right w:w="108" w:type="dxa"/>
            </w:tcMar>
            <w:vAlign w:val="top"/>
          </w:tcPr>
          <w:p w14:paraId="08D86F98">
            <w:pPr>
              <w:bidi w:val="0"/>
              <w:rPr>
                <w:rFonts w:hint="default"/>
              </w:rPr>
            </w:pPr>
            <w:r>
              <w:rPr>
                <w:rFonts w:hint="default"/>
              </w:rPr>
              <w:t>说明</w:t>
            </w:r>
          </w:p>
        </w:tc>
      </w:tr>
      <w:tr w14:paraId="7A577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4477" w:type="dxa"/>
            <w:gridSpan w:val="2"/>
            <w:tcBorders>
              <w:top w:val="nil"/>
              <w:left w:val="nil"/>
              <w:bottom w:val="single" w:color="808080" w:sz="8" w:space="0"/>
              <w:right w:val="single" w:color="808080" w:sz="8" w:space="0"/>
            </w:tcBorders>
            <w:shd w:val="clear" w:color="auto" w:fill="auto"/>
            <w:tcMar>
              <w:left w:w="108" w:type="dxa"/>
              <w:right w:w="108" w:type="dxa"/>
            </w:tcMar>
            <w:vAlign w:val="top"/>
          </w:tcPr>
          <w:p w14:paraId="4F1DAC71">
            <w:pPr>
              <w:bidi w:val="0"/>
              <w:rPr>
                <w:rFonts w:hint="default"/>
              </w:rPr>
            </w:pPr>
            <w:r>
              <w:rPr>
                <w:rFonts w:hint="default"/>
              </w:rPr>
              <w:t>创建快照</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72A732CD">
            <w:pPr>
              <w:bidi w:val="0"/>
              <w:rPr>
                <w:rFonts w:hint="default"/>
              </w:rPr>
            </w:pPr>
            <w:r>
              <w:rPr>
                <w:rFonts w:hint="default"/>
              </w:rPr>
              <w:t>为指定目录创建快照</w:t>
            </w:r>
          </w:p>
        </w:tc>
      </w:tr>
      <w:tr w14:paraId="6AE52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8" w:hRule="atLeast"/>
        </w:trPr>
        <w:tc>
          <w:tcPr>
            <w:tcW w:w="2374" w:type="dxa"/>
            <w:vMerge w:val="restart"/>
            <w:tcBorders>
              <w:top w:val="nil"/>
              <w:left w:val="nil"/>
              <w:bottom w:val="single" w:color="808080" w:sz="8" w:space="0"/>
              <w:right w:val="single" w:color="808080" w:sz="8" w:space="0"/>
            </w:tcBorders>
            <w:shd w:val="clear" w:color="auto" w:fill="auto"/>
            <w:tcMar>
              <w:left w:w="108" w:type="dxa"/>
              <w:right w:w="108" w:type="dxa"/>
            </w:tcMar>
            <w:vAlign w:val="top"/>
          </w:tcPr>
          <w:p w14:paraId="1B5AD196">
            <w:pPr>
              <w:bidi w:val="0"/>
              <w:rPr>
                <w:rFonts w:hint="default"/>
              </w:rPr>
            </w:pPr>
            <w:r>
              <w:rPr>
                <w:rFonts w:hint="default"/>
              </w:rPr>
              <w:t>（可选）管理快照</w:t>
            </w:r>
          </w:p>
        </w:tc>
        <w:tc>
          <w:tcPr>
            <w:tcW w:w="2103" w:type="dxa"/>
            <w:tcBorders>
              <w:top w:val="nil"/>
              <w:left w:val="nil"/>
              <w:bottom w:val="single" w:color="808080" w:sz="8" w:space="0"/>
              <w:right w:val="single" w:color="808080" w:sz="8" w:space="0"/>
            </w:tcBorders>
            <w:shd w:val="clear" w:color="auto" w:fill="auto"/>
            <w:tcMar>
              <w:left w:w="108" w:type="dxa"/>
              <w:right w:w="108" w:type="dxa"/>
            </w:tcMar>
            <w:vAlign w:val="top"/>
          </w:tcPr>
          <w:p w14:paraId="68D51FBB">
            <w:pPr>
              <w:bidi w:val="0"/>
              <w:rPr>
                <w:rFonts w:hint="default"/>
              </w:rPr>
            </w:pPr>
            <w:r>
              <w:rPr>
                <w:rFonts w:hint="default"/>
              </w:rPr>
              <w:t>查询快照</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6C316664">
            <w:pPr>
              <w:bidi w:val="0"/>
              <w:rPr>
                <w:rFonts w:hint="default"/>
              </w:rPr>
            </w:pPr>
            <w:r>
              <w:rPr>
                <w:rFonts w:hint="default"/>
              </w:rPr>
              <w:t>查看已创建的快照相关信息</w:t>
            </w:r>
          </w:p>
        </w:tc>
      </w:tr>
      <w:tr w14:paraId="373C1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2374" w:type="dxa"/>
            <w:vMerge w:val="continue"/>
            <w:tcBorders>
              <w:top w:val="nil"/>
              <w:left w:val="nil"/>
              <w:bottom w:val="single" w:color="808080" w:sz="8" w:space="0"/>
              <w:right w:val="single" w:color="808080" w:sz="8" w:space="0"/>
            </w:tcBorders>
            <w:shd w:val="clear" w:color="auto" w:fill="auto"/>
            <w:tcMar>
              <w:left w:w="108" w:type="dxa"/>
              <w:right w:w="108" w:type="dxa"/>
            </w:tcMar>
            <w:vAlign w:val="top"/>
          </w:tcPr>
          <w:p w14:paraId="2865189E">
            <w:pPr>
              <w:bidi w:val="0"/>
              <w:rPr>
                <w:rFonts w:hint="eastAsia"/>
              </w:rPr>
            </w:pPr>
          </w:p>
        </w:tc>
        <w:tc>
          <w:tcPr>
            <w:tcW w:w="2103" w:type="dxa"/>
            <w:tcBorders>
              <w:top w:val="nil"/>
              <w:left w:val="nil"/>
              <w:bottom w:val="single" w:color="808080" w:sz="8" w:space="0"/>
              <w:right w:val="single" w:color="808080" w:sz="8" w:space="0"/>
            </w:tcBorders>
            <w:shd w:val="clear" w:color="auto" w:fill="auto"/>
            <w:tcMar>
              <w:left w:w="108" w:type="dxa"/>
              <w:right w:w="108" w:type="dxa"/>
            </w:tcMar>
            <w:vAlign w:val="top"/>
          </w:tcPr>
          <w:p w14:paraId="6E0F5636">
            <w:pPr>
              <w:bidi w:val="0"/>
              <w:rPr>
                <w:rFonts w:hint="default"/>
              </w:rPr>
            </w:pPr>
            <w:r>
              <w:rPr>
                <w:rFonts w:hint="default"/>
              </w:rPr>
              <w:t>修改快照</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69ED5FFC">
            <w:pPr>
              <w:bidi w:val="0"/>
              <w:rPr>
                <w:rFonts w:hint="default"/>
              </w:rPr>
            </w:pPr>
            <w:r>
              <w:rPr>
                <w:rFonts w:hint="default"/>
              </w:rPr>
              <w:t>修改快照的说明和过期时间</w:t>
            </w:r>
          </w:p>
        </w:tc>
      </w:tr>
      <w:tr w14:paraId="1C0A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8" w:hRule="atLeast"/>
        </w:trPr>
        <w:tc>
          <w:tcPr>
            <w:tcW w:w="2374" w:type="dxa"/>
            <w:vMerge w:val="continue"/>
            <w:tcBorders>
              <w:top w:val="nil"/>
              <w:left w:val="nil"/>
              <w:bottom w:val="single" w:color="808080" w:sz="8" w:space="0"/>
              <w:right w:val="single" w:color="808080" w:sz="8" w:space="0"/>
            </w:tcBorders>
            <w:shd w:val="clear" w:color="auto" w:fill="auto"/>
            <w:tcMar>
              <w:left w:w="108" w:type="dxa"/>
              <w:right w:w="108" w:type="dxa"/>
            </w:tcMar>
            <w:vAlign w:val="top"/>
          </w:tcPr>
          <w:p w14:paraId="5B8B0116">
            <w:pPr>
              <w:bidi w:val="0"/>
              <w:rPr>
                <w:rFonts w:hint="eastAsia"/>
              </w:rPr>
            </w:pPr>
          </w:p>
        </w:tc>
        <w:tc>
          <w:tcPr>
            <w:tcW w:w="2103" w:type="dxa"/>
            <w:tcBorders>
              <w:top w:val="nil"/>
              <w:left w:val="nil"/>
              <w:bottom w:val="single" w:color="808080" w:sz="8" w:space="0"/>
              <w:right w:val="single" w:color="808080" w:sz="8" w:space="0"/>
            </w:tcBorders>
            <w:shd w:val="clear" w:color="auto" w:fill="auto"/>
            <w:tcMar>
              <w:left w:w="108" w:type="dxa"/>
              <w:right w:w="108" w:type="dxa"/>
            </w:tcMar>
            <w:vAlign w:val="top"/>
          </w:tcPr>
          <w:p w14:paraId="0E126C2A">
            <w:pPr>
              <w:bidi w:val="0"/>
              <w:rPr>
                <w:rFonts w:hint="default"/>
              </w:rPr>
            </w:pPr>
            <w:r>
              <w:rPr>
                <w:rFonts w:hint="default"/>
              </w:rPr>
              <w:t>删除快照</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64232C0F">
            <w:pPr>
              <w:bidi w:val="0"/>
              <w:rPr>
                <w:rFonts w:hint="default"/>
              </w:rPr>
            </w:pPr>
            <w:r>
              <w:rPr>
                <w:rFonts w:hint="default"/>
              </w:rPr>
              <w:t>手动删除已创建的快照</w:t>
            </w:r>
          </w:p>
        </w:tc>
      </w:tr>
      <w:tr w14:paraId="7D05E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2374" w:type="dxa"/>
            <w:vMerge w:val="continue"/>
            <w:tcBorders>
              <w:top w:val="nil"/>
              <w:left w:val="nil"/>
              <w:bottom w:val="single" w:color="808080" w:sz="8" w:space="0"/>
              <w:right w:val="single" w:color="808080" w:sz="8" w:space="0"/>
            </w:tcBorders>
            <w:shd w:val="clear" w:color="auto" w:fill="auto"/>
            <w:tcMar>
              <w:left w:w="108" w:type="dxa"/>
              <w:right w:w="108" w:type="dxa"/>
            </w:tcMar>
            <w:vAlign w:val="top"/>
          </w:tcPr>
          <w:p w14:paraId="42173301">
            <w:pPr>
              <w:bidi w:val="0"/>
              <w:rPr>
                <w:rFonts w:hint="eastAsia"/>
              </w:rPr>
            </w:pPr>
          </w:p>
        </w:tc>
        <w:tc>
          <w:tcPr>
            <w:tcW w:w="2103" w:type="dxa"/>
            <w:tcBorders>
              <w:top w:val="nil"/>
              <w:left w:val="nil"/>
              <w:bottom w:val="single" w:color="808080" w:sz="8" w:space="0"/>
              <w:right w:val="single" w:color="808080" w:sz="8" w:space="0"/>
            </w:tcBorders>
            <w:shd w:val="clear" w:color="auto" w:fill="auto"/>
            <w:tcMar>
              <w:left w:w="108" w:type="dxa"/>
              <w:right w:w="108" w:type="dxa"/>
            </w:tcMar>
            <w:vAlign w:val="top"/>
          </w:tcPr>
          <w:p w14:paraId="444C3FB9">
            <w:pPr>
              <w:bidi w:val="0"/>
              <w:rPr>
                <w:rFonts w:hint="default"/>
              </w:rPr>
            </w:pPr>
            <w:r>
              <w:rPr>
                <w:rFonts w:hint="default"/>
              </w:rPr>
              <w:t>回滚快照</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1B1E7FD7">
            <w:pPr>
              <w:bidi w:val="0"/>
              <w:rPr>
                <w:rFonts w:hint="default"/>
              </w:rPr>
            </w:pPr>
            <w:r>
              <w:rPr>
                <w:rFonts w:hint="default"/>
              </w:rPr>
              <w:t>恢复快照数据</w:t>
            </w:r>
          </w:p>
        </w:tc>
      </w:tr>
      <w:tr w14:paraId="6572A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8" w:hRule="atLeast"/>
        </w:trPr>
        <w:tc>
          <w:tcPr>
            <w:tcW w:w="4477" w:type="dxa"/>
            <w:gridSpan w:val="2"/>
            <w:tcBorders>
              <w:top w:val="nil"/>
              <w:left w:val="nil"/>
              <w:bottom w:val="single" w:color="808080" w:sz="8" w:space="0"/>
              <w:right w:val="single" w:color="808080" w:sz="8" w:space="0"/>
            </w:tcBorders>
            <w:shd w:val="clear" w:color="auto" w:fill="auto"/>
            <w:tcMar>
              <w:left w:w="108" w:type="dxa"/>
              <w:right w:w="108" w:type="dxa"/>
            </w:tcMar>
            <w:vAlign w:val="top"/>
          </w:tcPr>
          <w:p w14:paraId="75127993">
            <w:pPr>
              <w:bidi w:val="0"/>
              <w:rPr>
                <w:rFonts w:hint="default"/>
              </w:rPr>
            </w:pPr>
            <w:r>
              <w:rPr>
                <w:rFonts w:hint="default"/>
              </w:rPr>
              <w:t>创建定时快照策略</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60BCE816">
            <w:pPr>
              <w:bidi w:val="0"/>
              <w:rPr>
                <w:rFonts w:hint="default"/>
              </w:rPr>
            </w:pPr>
            <w:r>
              <w:rPr>
                <w:rFonts w:hint="default"/>
              </w:rPr>
              <w:t>为指定目录创建定时快照策略</w:t>
            </w:r>
          </w:p>
        </w:tc>
      </w:tr>
      <w:tr w14:paraId="46B0C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2374" w:type="dxa"/>
            <w:vMerge w:val="restart"/>
            <w:tcBorders>
              <w:top w:val="nil"/>
              <w:left w:val="nil"/>
              <w:bottom w:val="single" w:color="auto" w:sz="8" w:space="0"/>
              <w:right w:val="single" w:color="808080" w:sz="8" w:space="0"/>
            </w:tcBorders>
            <w:shd w:val="clear" w:color="auto" w:fill="auto"/>
            <w:tcMar>
              <w:left w:w="108" w:type="dxa"/>
              <w:right w:w="108" w:type="dxa"/>
            </w:tcMar>
            <w:vAlign w:val="top"/>
          </w:tcPr>
          <w:p w14:paraId="4D59DCC5">
            <w:pPr>
              <w:bidi w:val="0"/>
              <w:rPr>
                <w:rFonts w:hint="default"/>
              </w:rPr>
            </w:pPr>
            <w:r>
              <w:rPr>
                <w:rFonts w:hint="default"/>
              </w:rPr>
              <w:t>（可选）管理定时快照策略</w:t>
            </w:r>
          </w:p>
        </w:tc>
        <w:tc>
          <w:tcPr>
            <w:tcW w:w="2103" w:type="dxa"/>
            <w:tcBorders>
              <w:top w:val="nil"/>
              <w:left w:val="nil"/>
              <w:bottom w:val="single" w:color="808080" w:sz="8" w:space="0"/>
              <w:right w:val="single" w:color="808080" w:sz="8" w:space="0"/>
            </w:tcBorders>
            <w:shd w:val="clear" w:color="auto" w:fill="auto"/>
            <w:tcMar>
              <w:left w:w="108" w:type="dxa"/>
              <w:right w:w="108" w:type="dxa"/>
            </w:tcMar>
            <w:vAlign w:val="top"/>
          </w:tcPr>
          <w:p w14:paraId="15B07FCB">
            <w:pPr>
              <w:bidi w:val="0"/>
              <w:rPr>
                <w:rFonts w:hint="default"/>
              </w:rPr>
            </w:pPr>
            <w:r>
              <w:rPr>
                <w:rFonts w:hint="default"/>
              </w:rPr>
              <w:t>查询定时快照策略</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73B2CDE4">
            <w:pPr>
              <w:bidi w:val="0"/>
              <w:rPr>
                <w:rFonts w:hint="default"/>
              </w:rPr>
            </w:pPr>
            <w:r>
              <w:rPr>
                <w:rFonts w:hint="default"/>
              </w:rPr>
              <w:t>查看已创建的定时快照策略相关信息</w:t>
            </w:r>
          </w:p>
        </w:tc>
      </w:tr>
      <w:tr w14:paraId="1A6F6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8" w:hRule="atLeast"/>
        </w:trPr>
        <w:tc>
          <w:tcPr>
            <w:tcW w:w="2374" w:type="dxa"/>
            <w:vMerge w:val="continue"/>
            <w:tcBorders>
              <w:top w:val="nil"/>
              <w:left w:val="nil"/>
              <w:bottom w:val="single" w:color="auto" w:sz="8" w:space="0"/>
              <w:right w:val="single" w:color="808080" w:sz="8" w:space="0"/>
            </w:tcBorders>
            <w:shd w:val="clear" w:color="auto" w:fill="auto"/>
            <w:tcMar>
              <w:left w:w="108" w:type="dxa"/>
              <w:right w:w="108" w:type="dxa"/>
            </w:tcMar>
            <w:vAlign w:val="top"/>
          </w:tcPr>
          <w:p w14:paraId="7825F583">
            <w:pPr>
              <w:bidi w:val="0"/>
              <w:rPr>
                <w:rFonts w:hint="eastAsia"/>
              </w:rPr>
            </w:pPr>
          </w:p>
        </w:tc>
        <w:tc>
          <w:tcPr>
            <w:tcW w:w="2103" w:type="dxa"/>
            <w:tcBorders>
              <w:top w:val="nil"/>
              <w:left w:val="nil"/>
              <w:bottom w:val="single" w:color="808080" w:sz="8" w:space="0"/>
              <w:right w:val="single" w:color="808080" w:sz="8" w:space="0"/>
            </w:tcBorders>
            <w:shd w:val="clear" w:color="auto" w:fill="auto"/>
            <w:tcMar>
              <w:left w:w="108" w:type="dxa"/>
              <w:right w:w="108" w:type="dxa"/>
            </w:tcMar>
            <w:vAlign w:val="top"/>
          </w:tcPr>
          <w:p w14:paraId="35172EFF">
            <w:pPr>
              <w:bidi w:val="0"/>
              <w:rPr>
                <w:rFonts w:hint="default"/>
              </w:rPr>
            </w:pPr>
            <w:r>
              <w:rPr>
                <w:rFonts w:hint="default"/>
              </w:rPr>
              <w:t>修改定时快照策略</w:t>
            </w:r>
          </w:p>
        </w:tc>
        <w:tc>
          <w:tcPr>
            <w:tcW w:w="4533" w:type="dxa"/>
            <w:tcBorders>
              <w:top w:val="nil"/>
              <w:left w:val="nil"/>
              <w:bottom w:val="single" w:color="808080" w:sz="8" w:space="0"/>
              <w:right w:val="nil"/>
            </w:tcBorders>
            <w:shd w:val="clear" w:color="auto" w:fill="auto"/>
            <w:tcMar>
              <w:left w:w="108" w:type="dxa"/>
              <w:right w:w="108" w:type="dxa"/>
            </w:tcMar>
            <w:vAlign w:val="top"/>
          </w:tcPr>
          <w:p w14:paraId="3764C7A5">
            <w:pPr>
              <w:bidi w:val="0"/>
              <w:rPr>
                <w:rFonts w:hint="default"/>
              </w:rPr>
            </w:pPr>
            <w:r>
              <w:rPr>
                <w:rFonts w:hint="default"/>
              </w:rPr>
              <w:t>修改定时快照策略的快照有效期和定时参数</w:t>
            </w:r>
          </w:p>
        </w:tc>
      </w:tr>
      <w:tr w14:paraId="6A64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8" w:hRule="atLeast"/>
        </w:trPr>
        <w:tc>
          <w:tcPr>
            <w:tcW w:w="2374" w:type="dxa"/>
            <w:vMerge w:val="continue"/>
            <w:tcBorders>
              <w:top w:val="nil"/>
              <w:left w:val="nil"/>
              <w:bottom w:val="single" w:color="auto" w:sz="8" w:space="0"/>
              <w:right w:val="single" w:color="808080" w:sz="8" w:space="0"/>
            </w:tcBorders>
            <w:shd w:val="clear" w:color="auto" w:fill="auto"/>
            <w:tcMar>
              <w:left w:w="108" w:type="dxa"/>
              <w:right w:w="108" w:type="dxa"/>
            </w:tcMar>
            <w:vAlign w:val="top"/>
          </w:tcPr>
          <w:p w14:paraId="0700E048">
            <w:pPr>
              <w:bidi w:val="0"/>
              <w:rPr>
                <w:rFonts w:hint="eastAsia"/>
              </w:rPr>
            </w:pPr>
          </w:p>
        </w:tc>
        <w:tc>
          <w:tcPr>
            <w:tcW w:w="2103" w:type="dxa"/>
            <w:tcBorders>
              <w:top w:val="nil"/>
              <w:left w:val="nil"/>
              <w:bottom w:val="single" w:color="auto" w:sz="8" w:space="0"/>
              <w:right w:val="single" w:color="808080" w:sz="8" w:space="0"/>
            </w:tcBorders>
            <w:shd w:val="clear" w:color="auto" w:fill="auto"/>
            <w:tcMar>
              <w:left w:w="108" w:type="dxa"/>
              <w:right w:w="108" w:type="dxa"/>
            </w:tcMar>
            <w:vAlign w:val="top"/>
          </w:tcPr>
          <w:p w14:paraId="138108F3">
            <w:pPr>
              <w:bidi w:val="0"/>
              <w:rPr>
                <w:rFonts w:hint="default"/>
              </w:rPr>
            </w:pPr>
            <w:r>
              <w:rPr>
                <w:rFonts w:hint="default"/>
              </w:rPr>
              <w:t>删除定时快照策略</w:t>
            </w:r>
          </w:p>
        </w:tc>
        <w:tc>
          <w:tcPr>
            <w:tcW w:w="4533" w:type="dxa"/>
            <w:tcBorders>
              <w:top w:val="nil"/>
              <w:left w:val="nil"/>
              <w:bottom w:val="single" w:color="auto" w:sz="8" w:space="0"/>
              <w:right w:val="nil"/>
            </w:tcBorders>
            <w:shd w:val="clear" w:color="auto" w:fill="auto"/>
            <w:tcMar>
              <w:left w:w="108" w:type="dxa"/>
              <w:right w:w="108" w:type="dxa"/>
            </w:tcMar>
            <w:vAlign w:val="top"/>
          </w:tcPr>
          <w:p w14:paraId="397B8CE7">
            <w:pPr>
              <w:bidi w:val="0"/>
              <w:rPr>
                <w:rFonts w:hint="default"/>
              </w:rPr>
            </w:pPr>
            <w:r>
              <w:rPr>
                <w:rFonts w:hint="default"/>
              </w:rPr>
              <w:t>删除已创建的定时快照策略</w:t>
            </w:r>
          </w:p>
        </w:tc>
      </w:tr>
    </w:tbl>
    <w:p w14:paraId="5B72743F">
      <w:pPr>
        <w:pStyle w:val="4"/>
        <w:numPr>
          <w:numId w:val="0"/>
        </w:numPr>
        <w:bidi w:val="0"/>
        <w:ind w:left="0" w:leftChars="0" w:firstLine="0" w:firstLineChars="0"/>
      </w:pPr>
      <w:bookmarkStart w:id="46" w:name="_Toc60232702"/>
      <w:r>
        <w:rPr>
          <w:rFonts w:hint="default" w:ascii="宋体" w:hAnsi="宋体" w:eastAsia="宋体" w:cs="宋体"/>
          <w:b/>
          <w:kern w:val="2"/>
          <w:sz w:val="32"/>
          <w:szCs w:val="30"/>
          <w:lang w:val="en-US" w:eastAsia="zh-CN" w:bidi="ar-SA"/>
        </w:rPr>
        <w:t>3.5.</w:t>
      </w:r>
      <w:r>
        <w:rPr>
          <w:rFonts w:hint="default"/>
        </w:rPr>
        <w:t>文件存储WORM</w:t>
      </w:r>
      <w:bookmarkEnd w:id="46"/>
      <w:r>
        <w:rPr>
          <w:rFonts w:hint="default"/>
        </w:rPr>
        <w:t>管理</w:t>
      </w:r>
    </w:p>
    <w:p w14:paraId="46F2078B">
      <w:pPr>
        <w:pStyle w:val="5"/>
        <w:numPr>
          <w:numId w:val="0"/>
        </w:numPr>
        <w:bidi w:val="0"/>
        <w:ind w:left="0" w:leftChars="0" w:firstLine="0" w:firstLineChars="0"/>
        <w:rPr>
          <w:rFonts w:hint="default"/>
        </w:rPr>
      </w:pPr>
      <w:bookmarkStart w:id="47" w:name="_Toc60232703"/>
      <w:r>
        <w:rPr>
          <w:rFonts w:hint="default" w:ascii="宋体" w:hAnsi="宋体" w:eastAsia="宋体" w:cs="宋体"/>
          <w:b/>
          <w:kern w:val="2"/>
          <w:sz w:val="30"/>
          <w:szCs w:val="30"/>
          <w:lang w:val="en-US" w:eastAsia="zh-CN" w:bidi="ar-SA"/>
        </w:rPr>
        <w:t>3.5.1.</w:t>
      </w:r>
      <w:r>
        <w:rPr>
          <w:rFonts w:hint="default"/>
        </w:rPr>
        <w:t>简介</w:t>
      </w:r>
      <w:bookmarkEnd w:id="47"/>
    </w:p>
    <w:p w14:paraId="6888DE25">
      <w:pPr>
        <w:bidi w:val="0"/>
        <w:rPr>
          <w:rFonts w:hint="default"/>
        </w:rPr>
      </w:pPr>
      <w:r>
        <w:rPr>
          <w:rFonts w:hint="default"/>
          <w:lang w:val="en-US" w:eastAsia="zh-CN"/>
        </w:rPr>
        <w:t>WORM（write once，read many），即一写多读。当前存储领域对数据安全的要求越来越高，某些特定的文件要求在写入后只能读取，不能进行修改或删除。WORM可以实现这一功能，有效保证企业数据的安全。</w:t>
      </w:r>
    </w:p>
    <w:p w14:paraId="7DDBE5A7">
      <w:pPr>
        <w:pStyle w:val="5"/>
        <w:numPr>
          <w:numId w:val="0"/>
        </w:numPr>
        <w:bidi w:val="0"/>
        <w:ind w:left="0" w:leftChars="0" w:firstLine="0" w:firstLineChars="0"/>
        <w:rPr>
          <w:rFonts w:hint="default"/>
        </w:rPr>
      </w:pPr>
      <w:bookmarkStart w:id="48" w:name="_Toc60232704"/>
      <w:r>
        <w:rPr>
          <w:rFonts w:hint="default" w:ascii="宋体" w:hAnsi="宋体" w:eastAsia="宋体" w:cs="宋体"/>
          <w:b/>
          <w:kern w:val="2"/>
          <w:sz w:val="30"/>
          <w:szCs w:val="30"/>
          <w:lang w:val="en-US" w:eastAsia="zh-CN" w:bidi="ar-SA"/>
        </w:rPr>
        <w:t>3.5.2.</w:t>
      </w:r>
      <w:r>
        <w:rPr>
          <w:rFonts w:hint="default"/>
        </w:rPr>
        <w:t>概念和原理</w:t>
      </w:r>
      <w:bookmarkEnd w:id="48"/>
    </w:p>
    <w:p w14:paraId="12107070">
      <w:pPr>
        <w:pStyle w:val="6"/>
        <w:numPr>
          <w:numId w:val="0"/>
        </w:numPr>
        <w:bidi w:val="0"/>
        <w:ind w:left="0" w:leftChars="0" w:firstLine="0" w:firstLineChars="0"/>
        <w:rPr>
          <w:rFonts w:hint="default"/>
        </w:rPr>
      </w:pPr>
      <w:bookmarkStart w:id="49" w:name="_Toc60232705"/>
      <w:r>
        <w:rPr>
          <w:rFonts w:hint="default" w:ascii="宋体" w:hAnsi="宋体" w:eastAsia="宋体" w:cs="宋体"/>
          <w:b/>
          <w:kern w:val="2"/>
          <w:sz w:val="28"/>
          <w:szCs w:val="30"/>
          <w:lang w:val="en-US" w:eastAsia="zh-CN" w:bidi="ar-SA"/>
        </w:rPr>
        <w:t>3.5.2.1.</w:t>
      </w:r>
      <w:r>
        <w:rPr>
          <w:rFonts w:hint="default"/>
        </w:rPr>
        <w:t>概念</w:t>
      </w:r>
      <w:bookmarkEnd w:id="49"/>
    </w:p>
    <w:p w14:paraId="66A7B290">
      <w:pPr>
        <w:bidi w:val="0"/>
        <w:rPr>
          <w:rFonts w:hint="default"/>
        </w:rPr>
      </w:pPr>
      <w:r>
        <w:rPr>
          <w:rFonts w:hint="default"/>
        </w:rPr>
        <w:t>1. WORM时钟</w:t>
      </w:r>
    </w:p>
    <w:p w14:paraId="7B78DCEC">
      <w:pPr>
        <w:bidi w:val="0"/>
        <w:rPr>
          <w:rFonts w:hint="default"/>
        </w:rPr>
      </w:pPr>
      <w:r>
        <w:rPr>
          <w:rFonts w:hint="default"/>
          <w:lang w:val="en-US" w:eastAsia="zh-CN"/>
        </w:rPr>
        <w:t>为避免存储集群本地时间的改变导致文件的实际保护时间发生变化</w:t>
      </w:r>
      <w:r>
        <w:rPr>
          <w:rFonts w:hint="eastAsia"/>
          <w:lang w:val="en-US" w:eastAsia="zh-CN"/>
        </w:rPr>
        <w:t>，</w:t>
      </w:r>
      <w:r>
        <w:rPr>
          <w:rFonts w:hint="default"/>
          <w:lang w:val="en-US" w:eastAsia="zh-CN"/>
        </w:rPr>
        <w:t>UniStor设计了一套独立的时钟，即WORM时钟来独立计算文件的过期时间</w:t>
      </w:r>
      <w:r>
        <w:rPr>
          <w:rFonts w:hint="eastAsia"/>
          <w:lang w:val="en-US" w:eastAsia="zh-CN"/>
        </w:rPr>
        <w:t>。</w:t>
      </w:r>
    </w:p>
    <w:p w14:paraId="25F9AD94">
      <w:pPr>
        <w:bidi w:val="0"/>
        <w:rPr>
          <w:rFonts w:hint="default"/>
        </w:rPr>
      </w:pPr>
      <w:r>
        <w:rPr>
          <w:lang w:val="en-US" w:eastAsia="zh-CN"/>
        </w:rPr>
        <w:t>WORM</w:t>
      </w:r>
      <w:r>
        <w:rPr>
          <w:rFonts w:hint="default"/>
          <w:lang w:val="en-US" w:eastAsia="zh-CN"/>
        </w:rPr>
        <w:t>时钟与集群时间的关系：</w:t>
      </w:r>
    </w:p>
    <w:p w14:paraId="25F967A9">
      <w:pPr>
        <w:bidi w:val="0"/>
        <w:rPr>
          <w:rFonts w:hint="default"/>
        </w:rPr>
      </w:pPr>
      <w:r>
        <w:rPr>
          <w:lang w:val="en-US"/>
        </w:rPr>
        <w:t>·</w:t>
      </w:r>
      <w:r>
        <w:rPr>
          <w:rFonts w:hint="default"/>
        </w:rPr>
        <w:t>若WORM时钟小于集群时间，WORM时钟将每隔30秒，向前追赶1秒进行调整，直到赶上集群时间。</w:t>
      </w:r>
    </w:p>
    <w:p w14:paraId="1FD4D6E6">
      <w:pPr>
        <w:bidi w:val="0"/>
        <w:rPr>
          <w:rFonts w:hint="default"/>
        </w:rPr>
      </w:pPr>
      <w:r>
        <w:rPr>
          <w:rFonts w:hint="default"/>
          <w:lang w:val="en-US"/>
        </w:rPr>
        <w:t>·</w:t>
      </w:r>
      <w:r>
        <w:rPr>
          <w:rFonts w:hint="default"/>
        </w:rPr>
        <w:t>若WORM时钟大于集群时间，WORM时钟将直接调整为集群时间。</w:t>
      </w:r>
    </w:p>
    <w:p w14:paraId="0834DCC7">
      <w:pPr>
        <w:bidi w:val="0"/>
        <w:rPr>
          <w:rFonts w:hint="default"/>
        </w:rPr>
      </w:pPr>
      <w:r>
        <w:rPr>
          <w:rFonts w:hint="default"/>
        </w:rPr>
        <w:t>2. WORM属性</w:t>
      </w:r>
    </w:p>
    <w:p w14:paraId="18579B58">
      <w:pPr>
        <w:bidi w:val="0"/>
        <w:rPr>
          <w:rFonts w:hint="default"/>
        </w:rPr>
      </w:pPr>
      <w:r>
        <w:rPr>
          <w:rFonts w:hint="eastAsia"/>
          <w:lang w:val="en-US" w:eastAsia="zh-CN"/>
        </w:rPr>
        <w:t>WORM</w:t>
      </w:r>
      <w:r>
        <w:rPr>
          <w:rFonts w:hint="default"/>
          <w:lang w:val="en-US" w:eastAsia="zh-CN"/>
        </w:rPr>
        <w:t>属性包含最大保护期、最小保护期、默认保护期和自动提交时间四个参数。</w:t>
      </w:r>
    </w:p>
    <w:p w14:paraId="3D8F3752">
      <w:pPr>
        <w:bidi w:val="0"/>
        <w:rPr>
          <w:rFonts w:hint="default"/>
        </w:rPr>
      </w:pPr>
      <w:r>
        <w:rPr>
          <w:rFonts w:hint="default"/>
          <w:lang w:val="en-US" w:eastAsia="zh-CN"/>
        </w:rPr>
        <w:t>当为指定目录创建</w:t>
      </w:r>
      <w:r>
        <w:rPr>
          <w:rFonts w:hint="eastAsia"/>
          <w:lang w:val="en-US" w:eastAsia="zh-CN"/>
        </w:rPr>
        <w:t>WORM属性后，该目录即成为WORM</w:t>
      </w:r>
      <w:r>
        <w:rPr>
          <w:rFonts w:hint="default"/>
          <w:lang w:val="en-US" w:eastAsia="zh-CN"/>
        </w:rPr>
        <w:t>根目录，其下所有新建子目录和新建文件将自动继承该</w:t>
      </w:r>
      <w:r>
        <w:rPr>
          <w:rFonts w:hint="eastAsia"/>
          <w:lang w:val="en-US" w:eastAsia="zh-CN"/>
        </w:rPr>
        <w:t>WORM根目录的WORM</w:t>
      </w:r>
      <w:r>
        <w:rPr>
          <w:rFonts w:hint="default"/>
          <w:lang w:val="en-US" w:eastAsia="zh-CN"/>
        </w:rPr>
        <w:t>属性。</w:t>
      </w:r>
    </w:p>
    <w:p w14:paraId="5271BBD0">
      <w:pPr>
        <w:bidi w:val="0"/>
        <w:rPr>
          <w:rFonts w:hint="default"/>
        </w:rPr>
      </w:pPr>
      <w:r>
        <w:rPr>
          <w:rFonts w:hint="default"/>
          <w:lang w:val="en-US"/>
        </w:rPr>
        <w:t>·</w:t>
      </w:r>
      <w:r>
        <w:rPr>
          <w:rFonts w:hint="default"/>
        </w:rPr>
        <w:t>最小保护期：系统对文件保护时长的下限，取值需小于等于最大保护期。</w:t>
      </w:r>
    </w:p>
    <w:p w14:paraId="07D6F722">
      <w:pPr>
        <w:bidi w:val="0"/>
        <w:rPr>
          <w:rFonts w:hint="default"/>
        </w:rPr>
      </w:pPr>
      <w:r>
        <w:rPr>
          <w:rFonts w:hint="default"/>
          <w:lang w:val="en-US"/>
        </w:rPr>
        <w:t>·</w:t>
      </w:r>
      <w:r>
        <w:rPr>
          <w:rFonts w:hint="default"/>
        </w:rPr>
        <w:t>最大保护期：系统对文件保护时长的上限，取值需大于等于最小保护期。</w:t>
      </w:r>
    </w:p>
    <w:p w14:paraId="75B06FA6">
      <w:pPr>
        <w:bidi w:val="0"/>
        <w:rPr>
          <w:rFonts w:hint="default"/>
        </w:rPr>
      </w:pPr>
      <w:r>
        <w:rPr>
          <w:rFonts w:hint="default"/>
          <w:lang w:val="en-US"/>
        </w:rPr>
        <w:t>·</w:t>
      </w:r>
      <w:r>
        <w:rPr>
          <w:rFonts w:hint="default"/>
        </w:rPr>
        <w:t>默认保护期：当用户未设置文件的过期时间时，系统对文件的默认保护时长，取值范围在最小保护期和最大保护期之间，也可等于最小保护期或最大保护期。</w:t>
      </w:r>
    </w:p>
    <w:p w14:paraId="6FA6D756">
      <w:pPr>
        <w:bidi w:val="0"/>
        <w:rPr>
          <w:rFonts w:hint="default"/>
        </w:rPr>
      </w:pPr>
      <w:r>
        <w:rPr>
          <w:rFonts w:hint="default"/>
          <w:lang w:val="en-US"/>
        </w:rPr>
        <w:t>·</w:t>
      </w:r>
      <w:r>
        <w:rPr>
          <w:rFonts w:hint="default"/>
        </w:rPr>
        <w:t>自动提交时间：文件修改完成后，当超过自动提交时间未被再次修改，则自动进入保护状态。文件进入保护状态状态后，只允许读取，不允许修改或删除。</w:t>
      </w:r>
    </w:p>
    <w:p w14:paraId="60D3FF1C">
      <w:pPr>
        <w:bidi w:val="0"/>
        <w:rPr>
          <w:rFonts w:hint="default"/>
        </w:rPr>
      </w:pPr>
      <w:r>
        <w:rPr>
          <w:rFonts w:hint="default"/>
        </w:rPr>
        <w:t>3. WORM文件状态</w:t>
      </w:r>
    </w:p>
    <w:p w14:paraId="5F0662A6">
      <w:pPr>
        <w:bidi w:val="0"/>
        <w:rPr>
          <w:rFonts w:hint="default"/>
        </w:rPr>
      </w:pPr>
      <w:r>
        <w:rPr>
          <w:rFonts w:hint="default"/>
          <w:lang w:val="en-US" w:eastAsia="zh-CN"/>
        </w:rPr>
        <w:t>WORM文件的状态改变由WORM状态机控制。WORM状态机会根据当前WORM文件的状态、WORM属性与WORM时间来计算WORM文件继续保持当前状态或是进入哪种状态。不同的状态对应不同的权限，进而实现对WORM文件的保护。具体状态信息如</w:t>
      </w:r>
      <w:r>
        <w:rPr>
          <w:rFonts w:hint="default" w:ascii="Arial" w:hAnsi="Arial" w:cs="Arial"/>
          <w:i w:val="0"/>
          <w:iCs w:val="0"/>
          <w:caps w:val="0"/>
          <w:color w:val="0000FF"/>
          <w:spacing w:val="0"/>
          <w:szCs w:val="14"/>
          <w:u w:val="none"/>
          <w:shd w:val="clear" w:fill="FFFFFF"/>
          <w:vertAlign w:val="baseline"/>
        </w:rPr>
        <w:t>表11-1</w:t>
      </w:r>
      <w:r>
        <w:rPr>
          <w:rFonts w:hint="default"/>
          <w:lang w:val="en-US" w:eastAsia="zh-CN"/>
        </w:rPr>
        <w:t>所示。</w:t>
      </w:r>
    </w:p>
    <w:p w14:paraId="07BE3644">
      <w:pPr>
        <w:bidi w:val="0"/>
        <w:rPr>
          <w:rFonts w:hint="default"/>
        </w:rPr>
      </w:pPr>
      <w:bookmarkStart w:id="50" w:name="_Ref500423622"/>
      <w:r>
        <w:rPr>
          <w:rFonts w:hint="default"/>
        </w:rPr>
        <w:t>表11-1 WORM</w:t>
      </w:r>
      <w:bookmarkEnd w:id="50"/>
      <w:r>
        <w:rPr>
          <w:rFonts w:hint="default"/>
        </w:rPr>
        <w:t>文件状态</w:t>
      </w:r>
    </w:p>
    <w:tbl>
      <w:tblPr>
        <w:tblStyle w:val="13"/>
        <w:tblW w:w="90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72"/>
        <w:gridCol w:w="7742"/>
      </w:tblGrid>
      <w:tr w14:paraId="4AE75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 w:hRule="atLeast"/>
          <w:tblHeader/>
        </w:trPr>
        <w:tc>
          <w:tcPr>
            <w:tcW w:w="1272" w:type="dxa"/>
            <w:tcBorders>
              <w:top w:val="single" w:color="auto" w:sz="8" w:space="0"/>
              <w:left w:val="nil"/>
              <w:bottom w:val="single" w:color="808080" w:sz="8" w:space="0"/>
              <w:right w:val="single" w:color="808080" w:sz="8" w:space="0"/>
            </w:tcBorders>
            <w:shd w:val="clear" w:color="auto" w:fill="D9D9D9"/>
            <w:tcMar>
              <w:left w:w="108" w:type="dxa"/>
              <w:right w:w="108" w:type="dxa"/>
            </w:tcMar>
            <w:vAlign w:val="top"/>
          </w:tcPr>
          <w:p w14:paraId="72279D29">
            <w:pPr>
              <w:bidi w:val="0"/>
              <w:rPr>
                <w:rFonts w:hint="default"/>
              </w:rPr>
            </w:pPr>
            <w:r>
              <w:rPr>
                <w:rFonts w:hint="default"/>
              </w:rPr>
              <w:t>状态</w:t>
            </w:r>
          </w:p>
        </w:tc>
        <w:tc>
          <w:tcPr>
            <w:tcW w:w="7742" w:type="dxa"/>
            <w:tcBorders>
              <w:top w:val="single" w:color="auto" w:sz="8" w:space="0"/>
              <w:left w:val="nil"/>
              <w:bottom w:val="single" w:color="808080" w:sz="8" w:space="0"/>
              <w:right w:val="nil"/>
            </w:tcBorders>
            <w:shd w:val="clear" w:color="auto" w:fill="D9D9D9"/>
            <w:tcMar>
              <w:left w:w="108" w:type="dxa"/>
              <w:right w:w="108" w:type="dxa"/>
            </w:tcMar>
            <w:vAlign w:val="top"/>
          </w:tcPr>
          <w:p w14:paraId="19E9A7D4">
            <w:pPr>
              <w:bidi w:val="0"/>
              <w:rPr>
                <w:rFonts w:hint="default"/>
              </w:rPr>
            </w:pPr>
            <w:r>
              <w:rPr>
                <w:rFonts w:hint="default"/>
              </w:rPr>
              <w:t>说明</w:t>
            </w:r>
          </w:p>
        </w:tc>
      </w:tr>
      <w:tr w14:paraId="4DB1E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 w:hRule="atLeast"/>
        </w:trPr>
        <w:tc>
          <w:tcPr>
            <w:tcW w:w="1272" w:type="dxa"/>
            <w:tcBorders>
              <w:top w:val="nil"/>
              <w:left w:val="nil"/>
              <w:bottom w:val="single" w:color="808080" w:sz="8" w:space="0"/>
              <w:right w:val="single" w:color="808080" w:sz="8" w:space="0"/>
            </w:tcBorders>
            <w:shd w:val="clear" w:color="auto" w:fill="auto"/>
            <w:tcMar>
              <w:left w:w="108" w:type="dxa"/>
              <w:right w:w="108" w:type="dxa"/>
            </w:tcMar>
            <w:vAlign w:val="top"/>
          </w:tcPr>
          <w:p w14:paraId="4884E9A0">
            <w:pPr>
              <w:bidi w:val="0"/>
              <w:rPr>
                <w:rFonts w:hint="default"/>
              </w:rPr>
            </w:pPr>
            <w:r>
              <w:rPr>
                <w:rFonts w:hint="default"/>
              </w:rPr>
              <w:t>未保护</w:t>
            </w:r>
          </w:p>
        </w:tc>
        <w:tc>
          <w:tcPr>
            <w:tcW w:w="7742" w:type="dxa"/>
            <w:tcBorders>
              <w:top w:val="nil"/>
              <w:left w:val="nil"/>
              <w:bottom w:val="single" w:color="808080" w:sz="8" w:space="0"/>
              <w:right w:val="nil"/>
            </w:tcBorders>
            <w:shd w:val="clear" w:color="auto" w:fill="auto"/>
            <w:tcMar>
              <w:left w:w="108" w:type="dxa"/>
              <w:right w:w="108" w:type="dxa"/>
            </w:tcMar>
            <w:vAlign w:val="top"/>
          </w:tcPr>
          <w:p w14:paraId="32848F54">
            <w:pPr>
              <w:bidi w:val="0"/>
              <w:rPr>
                <w:rFonts w:hint="default"/>
              </w:rPr>
            </w:pPr>
            <w:r>
              <w:rPr>
                <w:rFonts w:hint="default"/>
              </w:rPr>
              <w:t>未提供保护服务，此状态下文件可以被修改或删除</w:t>
            </w:r>
          </w:p>
        </w:tc>
      </w:tr>
      <w:tr w14:paraId="1FF3F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 w:hRule="atLeast"/>
        </w:trPr>
        <w:tc>
          <w:tcPr>
            <w:tcW w:w="1272" w:type="dxa"/>
            <w:tcBorders>
              <w:top w:val="nil"/>
              <w:left w:val="nil"/>
              <w:bottom w:val="single" w:color="808080" w:sz="8" w:space="0"/>
              <w:right w:val="single" w:color="808080" w:sz="8" w:space="0"/>
            </w:tcBorders>
            <w:shd w:val="clear" w:color="auto" w:fill="auto"/>
            <w:tcMar>
              <w:left w:w="108" w:type="dxa"/>
              <w:right w:w="108" w:type="dxa"/>
            </w:tcMar>
            <w:vAlign w:val="top"/>
          </w:tcPr>
          <w:p w14:paraId="74F5D11F">
            <w:pPr>
              <w:bidi w:val="0"/>
              <w:rPr>
                <w:rFonts w:hint="default"/>
              </w:rPr>
            </w:pPr>
            <w:r>
              <w:rPr>
                <w:rFonts w:hint="default"/>
              </w:rPr>
              <w:t>保护</w:t>
            </w:r>
          </w:p>
        </w:tc>
        <w:tc>
          <w:tcPr>
            <w:tcW w:w="7742" w:type="dxa"/>
            <w:tcBorders>
              <w:top w:val="nil"/>
              <w:left w:val="nil"/>
              <w:bottom w:val="single" w:color="808080" w:sz="8" w:space="0"/>
              <w:right w:val="nil"/>
            </w:tcBorders>
            <w:shd w:val="clear" w:color="auto" w:fill="auto"/>
            <w:tcMar>
              <w:left w:w="108" w:type="dxa"/>
              <w:right w:w="108" w:type="dxa"/>
            </w:tcMar>
            <w:vAlign w:val="top"/>
          </w:tcPr>
          <w:p w14:paraId="2B184AFA">
            <w:pPr>
              <w:bidi w:val="0"/>
              <w:rPr>
                <w:rFonts w:hint="default"/>
              </w:rPr>
            </w:pPr>
            <w:r>
              <w:rPr>
                <w:rFonts w:hint="default"/>
              </w:rPr>
              <w:t>提供保护服务，该状态下文件只可以读取，不可以修改或删除</w:t>
            </w:r>
          </w:p>
        </w:tc>
      </w:tr>
      <w:tr w14:paraId="078BE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8" w:hRule="atLeast"/>
        </w:trPr>
        <w:tc>
          <w:tcPr>
            <w:tcW w:w="1272" w:type="dxa"/>
            <w:tcBorders>
              <w:top w:val="nil"/>
              <w:left w:val="nil"/>
              <w:bottom w:val="single" w:color="auto" w:sz="8" w:space="0"/>
              <w:right w:val="single" w:color="808080" w:sz="8" w:space="0"/>
            </w:tcBorders>
            <w:shd w:val="clear" w:color="auto" w:fill="auto"/>
            <w:tcMar>
              <w:left w:w="108" w:type="dxa"/>
              <w:right w:w="108" w:type="dxa"/>
            </w:tcMar>
            <w:vAlign w:val="top"/>
          </w:tcPr>
          <w:p w14:paraId="57BBE7BC">
            <w:pPr>
              <w:bidi w:val="0"/>
              <w:rPr>
                <w:rFonts w:hint="default"/>
              </w:rPr>
            </w:pPr>
            <w:r>
              <w:rPr>
                <w:rFonts w:hint="default"/>
              </w:rPr>
              <w:t>过期</w:t>
            </w:r>
          </w:p>
        </w:tc>
        <w:tc>
          <w:tcPr>
            <w:tcW w:w="7742" w:type="dxa"/>
            <w:tcBorders>
              <w:top w:val="nil"/>
              <w:left w:val="nil"/>
              <w:bottom w:val="single" w:color="auto" w:sz="8" w:space="0"/>
              <w:right w:val="nil"/>
            </w:tcBorders>
            <w:shd w:val="clear" w:color="auto" w:fill="auto"/>
            <w:tcMar>
              <w:left w:w="108" w:type="dxa"/>
              <w:right w:w="108" w:type="dxa"/>
            </w:tcMar>
            <w:vAlign w:val="top"/>
          </w:tcPr>
          <w:p w14:paraId="79C2330E">
            <w:pPr>
              <w:bidi w:val="0"/>
              <w:rPr>
                <w:rFonts w:hint="default"/>
              </w:rPr>
            </w:pPr>
            <w:r>
              <w:rPr>
                <w:rFonts w:hint="default"/>
              </w:rPr>
              <w:t>文件可以读取和删除，是否可以修改则由过期文件策略决定</w:t>
            </w:r>
          </w:p>
        </w:tc>
      </w:tr>
    </w:tbl>
    <w:p w14:paraId="3E02817D">
      <w:pPr>
        <w:pStyle w:val="6"/>
        <w:numPr>
          <w:numId w:val="0"/>
        </w:numPr>
        <w:bidi w:val="0"/>
        <w:ind w:left="0" w:leftChars="0" w:firstLine="0" w:firstLineChars="0"/>
      </w:pPr>
      <w:bookmarkStart w:id="51" w:name="_Toc60232706"/>
      <w:r>
        <w:rPr>
          <w:rFonts w:hint="default" w:ascii="宋体" w:hAnsi="宋体" w:eastAsia="宋体" w:cs="宋体"/>
          <w:b/>
          <w:kern w:val="2"/>
          <w:sz w:val="28"/>
          <w:szCs w:val="30"/>
          <w:lang w:val="en-US" w:eastAsia="zh-CN" w:bidi="ar-SA"/>
        </w:rPr>
        <w:t>3.5.2.2.</w:t>
      </w:r>
      <w:r>
        <w:rPr>
          <w:rFonts w:hint="default"/>
        </w:rPr>
        <w:t>原理</w:t>
      </w:r>
      <w:bookmarkEnd w:id="51"/>
    </w:p>
    <w:p w14:paraId="659D6B9C">
      <w:pPr>
        <w:bidi w:val="0"/>
        <w:rPr>
          <w:rFonts w:hint="default"/>
        </w:rPr>
      </w:pPr>
      <w:r>
        <w:rPr>
          <w:rFonts w:hint="default"/>
        </w:rPr>
        <w:t>1. 状态切换</w:t>
      </w:r>
    </w:p>
    <w:p w14:paraId="42BC5792">
      <w:pPr>
        <w:bidi w:val="0"/>
        <w:rPr>
          <w:rFonts w:hint="default"/>
        </w:rPr>
      </w:pPr>
      <w:r>
        <w:rPr>
          <w:rFonts w:hint="default"/>
          <w:lang w:val="en-US" w:eastAsia="zh-CN"/>
        </w:rPr>
        <w:t>WORM状态机的状态切换如</w:t>
      </w:r>
      <w:r>
        <w:rPr>
          <w:rFonts w:hint="default"/>
          <w:lang w:val="en-US" w:eastAsia="zh-CN"/>
        </w:rPr>
        <w:fldChar w:fldCharType="begin"/>
      </w:r>
      <w:r>
        <w:rPr>
          <w:rFonts w:hint="default"/>
          <w:lang w:val="en-US" w:eastAsia="zh-CN"/>
        </w:rPr>
        <w:instrText xml:space="preserve"> HYPERLINK "https://www.h3c.com/cn/d_202102/1382497_30005_0.htm" \l "_Ref500424151" </w:instrText>
      </w:r>
      <w:r>
        <w:rPr>
          <w:rFonts w:hint="default"/>
          <w:lang w:val="en-US" w:eastAsia="zh-CN"/>
        </w:rPr>
        <w:fldChar w:fldCharType="separate"/>
      </w:r>
      <w:r>
        <w:rPr>
          <w:rStyle w:val="16"/>
          <w:rFonts w:hint="default" w:ascii="Arial" w:hAnsi="Arial" w:cs="Arial"/>
          <w:i w:val="0"/>
          <w:iCs w:val="0"/>
          <w:caps w:val="0"/>
          <w:color w:val="0000FF"/>
          <w:spacing w:val="0"/>
          <w:szCs w:val="14"/>
          <w:u w:val="single"/>
          <w:shd w:val="clear" w:fill="FFFFFF"/>
          <w:vertAlign w:val="baseline"/>
        </w:rPr>
        <w:t>图11-1</w:t>
      </w:r>
      <w:r>
        <w:rPr>
          <w:rFonts w:hint="default"/>
          <w:lang w:val="en-US" w:eastAsia="zh-CN"/>
        </w:rPr>
        <w:fldChar w:fldCharType="end"/>
      </w:r>
      <w:r>
        <w:rPr>
          <w:rFonts w:hint="default"/>
          <w:lang w:val="en-US" w:eastAsia="zh-CN"/>
        </w:rPr>
        <w:t>所示。</w:t>
      </w:r>
    </w:p>
    <w:p w14:paraId="7E903B42">
      <w:pPr>
        <w:bidi w:val="0"/>
        <w:rPr>
          <w:rFonts w:hint="default"/>
        </w:rPr>
      </w:pPr>
      <w:bookmarkStart w:id="52" w:name="_Ref500424151"/>
      <w:r>
        <w:rPr>
          <w:rFonts w:hint="default"/>
        </w:rPr>
        <w:t>图11-1 状态切换</w:t>
      </w:r>
      <w:bookmarkEnd w:id="52"/>
    </w:p>
    <w:p w14:paraId="0AC921C8">
      <w:pPr>
        <w:bidi w:val="0"/>
        <w:rPr>
          <w:rFonts w:hint="default"/>
        </w:rPr>
      </w:pPr>
      <w:r>
        <w:rPr>
          <w:rFonts w:hint="eastAsia"/>
        </w:rPr>
        <w:drawing>
          <wp:inline distT="0" distB="0" distL="114300" distR="114300">
            <wp:extent cx="3505200" cy="1190625"/>
            <wp:effectExtent l="0" t="0" r="0" b="3175"/>
            <wp:docPr id="27" name="图片 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56"/>
                    <pic:cNvPicPr>
                      <a:picLocks noChangeAspect="1"/>
                    </pic:cNvPicPr>
                  </pic:nvPicPr>
                  <pic:blipFill>
                    <a:blip r:embed="rId18"/>
                    <a:stretch>
                      <a:fillRect/>
                    </a:stretch>
                  </pic:blipFill>
                  <pic:spPr>
                    <a:xfrm>
                      <a:off x="0" y="0"/>
                      <a:ext cx="3505200" cy="1190625"/>
                    </a:xfrm>
                    <a:prstGeom prst="rect">
                      <a:avLst/>
                    </a:prstGeom>
                    <a:noFill/>
                    <a:ln w="9525">
                      <a:noFill/>
                    </a:ln>
                  </pic:spPr>
                </pic:pic>
              </a:graphicData>
            </a:graphic>
          </wp:inline>
        </w:drawing>
      </w:r>
    </w:p>
    <w:p w14:paraId="3A83A1E4">
      <w:pPr>
        <w:bidi w:val="0"/>
        <w:rPr>
          <w:rFonts w:hint="default"/>
        </w:rPr>
      </w:pPr>
      <w:r>
        <w:rPr>
          <w:lang w:val="en-US"/>
        </w:rPr>
        <w:t>·</w:t>
      </w:r>
      <w:r>
        <w:rPr>
          <w:rFonts w:hint="default"/>
        </w:rPr>
        <w:t>Operation 1提交保护：通过自动提交保护和手动提交保护两种方式使WORM目录下的文件进入“保护状态”。</w:t>
      </w:r>
    </w:p>
    <w:p w14:paraId="7057E683">
      <w:pPr>
        <w:bidi w:val="0"/>
        <w:rPr>
          <w:rFonts w:hint="default"/>
        </w:rPr>
      </w:pPr>
      <w:r>
        <w:rPr>
          <w:lang w:val="en-US"/>
        </w:rPr>
        <w:t>¡</w:t>
      </w:r>
      <w:r>
        <w:rPr>
          <w:rFonts w:hint="default"/>
        </w:rPr>
        <w:t>自动提交保护：在设置的自动提交保护时间内没有进行写操作和修改WORM属性等操作，文件将自动进入“保护状态”。</w:t>
      </w:r>
    </w:p>
    <w:p w14:paraId="08061AB3">
      <w:pPr>
        <w:bidi w:val="0"/>
        <w:rPr>
          <w:rFonts w:hint="default"/>
        </w:rPr>
      </w:pPr>
      <w:r>
        <w:rPr>
          <w:rFonts w:hint="default"/>
          <w:lang w:val="en-US"/>
        </w:rPr>
        <w:t>¡</w:t>
      </w:r>
      <w:r>
        <w:rPr>
          <w:rFonts w:hint="default"/>
        </w:rPr>
        <w:t>手动提交保护：用户手工去除文件写权限或设置为只读，使文件进入“保护状态”。</w:t>
      </w:r>
    </w:p>
    <w:p w14:paraId="405968BB">
      <w:pPr>
        <w:bidi w:val="0"/>
        <w:rPr>
          <w:rFonts w:hint="default"/>
        </w:rPr>
      </w:pPr>
      <w:r>
        <w:rPr>
          <w:rFonts w:hint="default"/>
          <w:lang w:val="en-US"/>
        </w:rPr>
        <w:t>·</w:t>
      </w:r>
      <w:r>
        <w:rPr>
          <w:rFonts w:hint="default"/>
        </w:rPr>
        <w:t>Operation 2过保护期：随着时间推移，文件进入“过期状态”，此时文件可以读取和删除，是否可以修改则由过期文件策略决定。</w:t>
      </w:r>
    </w:p>
    <w:p w14:paraId="747D4511">
      <w:pPr>
        <w:bidi w:val="0"/>
        <w:rPr>
          <w:rFonts w:hint="default"/>
        </w:rPr>
      </w:pPr>
      <w:r>
        <w:rPr>
          <w:rFonts w:hint="default"/>
          <w:lang w:val="en-US"/>
        </w:rPr>
        <w:t>·</w:t>
      </w:r>
      <w:r>
        <w:rPr>
          <w:rFonts w:hint="default"/>
        </w:rPr>
        <w:t>Operation 3延长保护期：文件过期后，可以通过手动延长保护期使文件重新进入“保护状态”。</w:t>
      </w:r>
    </w:p>
    <w:p w14:paraId="5974A9F3">
      <w:pPr>
        <w:bidi w:val="0"/>
        <w:rPr>
          <w:rFonts w:hint="default"/>
        </w:rPr>
      </w:pPr>
      <w:r>
        <w:rPr>
          <w:rFonts w:hint="default"/>
          <w:lang w:val="en-US"/>
        </w:rPr>
        <w:t>·</w:t>
      </w:r>
      <w:r>
        <w:rPr>
          <w:rFonts w:hint="default"/>
        </w:rPr>
        <w:t>Operation 4修改保护期：文件处于保护状态时，可以通过修改atime，手动延长文件的保护期。</w:t>
      </w:r>
    </w:p>
    <w:p w14:paraId="6B24F180">
      <w:pPr>
        <w:bidi w:val="0"/>
        <w:rPr>
          <w:rFonts w:hint="default"/>
        </w:rPr>
      </w:pPr>
      <w:r>
        <w:rPr>
          <w:rFonts w:hint="default"/>
        </w:rPr>
        <w:t>2. 过期时间计算</w:t>
      </w:r>
    </w:p>
    <w:p w14:paraId="4CEBF068">
      <w:pPr>
        <w:bidi w:val="0"/>
        <w:rPr>
          <w:rFonts w:hint="default"/>
        </w:rPr>
      </w:pPr>
      <w:r>
        <w:rPr>
          <w:rFonts w:hint="default"/>
        </w:rPr>
        <w:t>每个文件都具有</w:t>
      </w:r>
      <w:r>
        <w:rPr>
          <w:rFonts w:hint="default"/>
          <w:lang w:val="en-US"/>
        </w:rPr>
        <w:t>atime</w:t>
      </w:r>
      <w:r>
        <w:rPr>
          <w:rFonts w:hint="eastAsia"/>
        </w:rPr>
        <w:t>、</w:t>
      </w:r>
      <w:r>
        <w:rPr>
          <w:rFonts w:hint="default"/>
          <w:lang w:val="en-US"/>
        </w:rPr>
        <w:t>ctime</w:t>
      </w:r>
      <w:r>
        <w:rPr>
          <w:rFonts w:hint="default"/>
        </w:rPr>
        <w:t>和</w:t>
      </w:r>
      <w:r>
        <w:rPr>
          <w:rFonts w:hint="default"/>
          <w:lang w:val="en-US"/>
        </w:rPr>
        <w:t>mtime</w:t>
      </w:r>
      <w:r>
        <w:rPr>
          <w:rFonts w:hint="default"/>
        </w:rPr>
        <w:t>三个时间属性，用户可通过</w:t>
      </w:r>
      <w:r>
        <w:rPr>
          <w:rFonts w:hint="default"/>
          <w:lang w:val="en-US"/>
        </w:rPr>
        <w:t>stat </w:t>
      </w:r>
      <w:r>
        <w:rPr>
          <w:rFonts w:hint="eastAsia"/>
          <w:lang w:val="en-US"/>
        </w:rPr>
        <w:t>filename</w:t>
      </w:r>
      <w:r>
        <w:rPr>
          <w:rFonts w:hint="default"/>
        </w:rPr>
        <w:t>命令查看。</w:t>
      </w:r>
    </w:p>
    <w:p w14:paraId="44A95E2D">
      <w:pPr>
        <w:bidi w:val="0"/>
        <w:rPr>
          <w:rFonts w:hint="default"/>
        </w:rPr>
      </w:pPr>
      <w:r>
        <w:rPr>
          <w:rFonts w:hint="default"/>
          <w:lang w:val="en-US"/>
        </w:rPr>
        <w:t>·</w:t>
      </w:r>
      <w:r>
        <w:rPr>
          <w:rFonts w:hint="default"/>
        </w:rPr>
        <w:t>atime：最后一次读取或执行文件的时间。</w:t>
      </w:r>
    </w:p>
    <w:p w14:paraId="2871F5BA">
      <w:pPr>
        <w:bidi w:val="0"/>
        <w:rPr>
          <w:rFonts w:hint="default"/>
        </w:rPr>
      </w:pPr>
      <w:r>
        <w:rPr>
          <w:rFonts w:hint="default"/>
          <w:lang w:val="en-US"/>
        </w:rPr>
        <w:t>·</w:t>
      </w:r>
      <w:r>
        <w:rPr>
          <w:rFonts w:hint="default"/>
        </w:rPr>
        <w:t>ctime：文件的属性最后改变的时间。</w:t>
      </w:r>
    </w:p>
    <w:p w14:paraId="2F5E0498">
      <w:pPr>
        <w:bidi w:val="0"/>
        <w:rPr>
          <w:rFonts w:hint="default"/>
        </w:rPr>
      </w:pPr>
      <w:r>
        <w:rPr>
          <w:rFonts w:hint="default"/>
          <w:lang w:val="en-US"/>
        </w:rPr>
        <w:t>·</w:t>
      </w:r>
      <w:r>
        <w:rPr>
          <w:rFonts w:hint="default"/>
        </w:rPr>
        <w:t>mtime：文件的数据内容最后改变的时间。</w:t>
      </w:r>
    </w:p>
    <w:p w14:paraId="01E10CE5">
      <w:pPr>
        <w:bidi w:val="0"/>
        <w:rPr>
          <w:rFonts w:hint="default"/>
        </w:rPr>
      </w:pPr>
      <w:r>
        <w:rPr>
          <w:rFonts w:hint="default"/>
        </w:rPr>
        <w:t>在本特性中，当文件进入保护状态后，</w:t>
      </w:r>
      <w:r>
        <w:rPr>
          <w:rFonts w:hint="default"/>
          <w:lang w:val="en-US"/>
        </w:rPr>
        <w:t>atime</w:t>
      </w:r>
      <w:r>
        <w:rPr>
          <w:rFonts w:hint="eastAsia"/>
        </w:rPr>
        <w:t>将不再随文件的读取或执行发生变化，转为表示文件的过期时间，最大值为</w:t>
      </w:r>
      <w:r>
        <w:rPr>
          <w:rFonts w:hint="default"/>
          <w:lang w:val="en-US"/>
        </w:rPr>
        <w:t>2106-02-07 14:28:15</w:t>
      </w:r>
      <w:r>
        <w:rPr>
          <w:rFonts w:hint="eastAsia"/>
        </w:rPr>
        <w:t>。</w:t>
      </w:r>
    </w:p>
    <w:p w14:paraId="672478A9">
      <w:pPr>
        <w:bidi w:val="0"/>
        <w:rPr>
          <w:rFonts w:hint="default"/>
        </w:rPr>
      </w:pPr>
      <w:r>
        <w:rPr>
          <w:rFonts w:hint="default"/>
          <w:lang w:val="en-US" w:eastAsia="zh-CN"/>
        </w:rPr>
        <w:t>过期时间的计算分为以下两种情况：</w:t>
      </w:r>
    </w:p>
    <w:p w14:paraId="16F7EEE3">
      <w:pPr>
        <w:bidi w:val="0"/>
        <w:rPr>
          <w:rFonts w:hint="default"/>
        </w:rPr>
      </w:pPr>
      <w:r>
        <w:rPr>
          <w:rFonts w:hint="default"/>
          <w:lang w:val="en-US"/>
        </w:rPr>
        <w:t>·</w:t>
      </w:r>
      <w:r>
        <w:rPr>
          <w:rFonts w:hint="default"/>
        </w:rPr>
        <w:t>自动提交保护</w:t>
      </w:r>
    </w:p>
    <w:p w14:paraId="306ACF81">
      <w:pPr>
        <w:bidi w:val="0"/>
        <w:rPr>
          <w:rFonts w:hint="default"/>
        </w:rPr>
      </w:pPr>
      <w:r>
        <w:rPr>
          <w:rFonts w:hint="default"/>
          <w:lang w:val="en-US" w:eastAsia="zh-CN"/>
        </w:rPr>
        <w:t>atime=mtime+自动提交时间+默认保护期</w:t>
      </w:r>
    </w:p>
    <w:p w14:paraId="3AB909B5">
      <w:pPr>
        <w:bidi w:val="0"/>
        <w:rPr>
          <w:rFonts w:hint="default"/>
        </w:rPr>
      </w:pPr>
      <w:r>
        <w:rPr>
          <w:rFonts w:hint="default"/>
          <w:lang w:val="en-US"/>
        </w:rPr>
        <w:t>·</w:t>
      </w:r>
      <w:r>
        <w:rPr>
          <w:rFonts w:hint="default"/>
        </w:rPr>
        <w:t>手动提交保护</w:t>
      </w:r>
    </w:p>
    <w:p w14:paraId="1B8CB422">
      <w:pPr>
        <w:bidi w:val="0"/>
        <w:rPr>
          <w:rFonts w:hint="default"/>
        </w:rPr>
      </w:pPr>
      <w:r>
        <w:rPr>
          <w:rFonts w:hint="default"/>
          <w:lang w:val="en-US" w:eastAsia="zh-CN"/>
        </w:rPr>
        <w:t>atime=当前WORM时钟时间+默认保护期</w:t>
      </w:r>
    </w:p>
    <w:p w14:paraId="1CB7AC45">
      <w:pPr>
        <w:rPr>
          <w:rFonts w:hint="eastAsia" w:ascii="仿宋" w:hAnsi="仿宋" w:eastAsia="仿宋" w:cs="仿宋"/>
          <w:sz w:val="28"/>
          <w:szCs w:val="28"/>
        </w:rPr>
      </w:pPr>
    </w:p>
    <w:p w14:paraId="1DA91FAE">
      <w:pPr>
        <w:pStyle w:val="3"/>
        <w:numPr>
          <w:numId w:val="0"/>
        </w:numPr>
        <w:bidi w:val="0"/>
        <w:ind w:left="0" w:leftChars="0" w:firstLine="0" w:firstLineChars="0"/>
        <w:rPr>
          <w:rFonts w:hint="eastAsia"/>
        </w:rPr>
      </w:pPr>
      <w:r>
        <w:rPr>
          <w:rFonts w:hint="default" w:eastAsia="仿宋" w:cs="微软雅黑" w:asciiTheme="minorAscii" w:hAnsiTheme="minorAscii"/>
          <w:b/>
          <w:kern w:val="44"/>
          <w:sz w:val="44"/>
          <w:szCs w:val="30"/>
          <w:lang w:val="en-US" w:eastAsia="zh-CN" w:bidi="ar-SA"/>
        </w:rPr>
        <w:t>4.</w:t>
      </w:r>
      <w:r>
        <w:rPr>
          <w:rFonts w:hint="eastAsia"/>
          <w:lang w:val="en-US" w:eastAsia="zh-CN"/>
        </w:rPr>
        <w:t>实施方案</w:t>
      </w:r>
    </w:p>
    <w:p w14:paraId="752494AB">
      <w:pPr>
        <w:rPr>
          <w:rFonts w:hint="eastAsia"/>
        </w:rPr>
      </w:pPr>
      <w:r>
        <w:rPr>
          <w:rFonts w:hint="eastAsia"/>
        </w:rPr>
        <w:t>1. 实施目标</w:t>
      </w:r>
    </w:p>
    <w:p w14:paraId="4D4F2398">
      <w:pPr>
        <w:rPr>
          <w:rFonts w:hint="eastAsia"/>
        </w:rPr>
      </w:pPr>
      <w:r>
        <w:rPr>
          <w:rFonts w:hint="eastAsia"/>
        </w:rPr>
        <w:t>构建高可用、高性能的分布式存储架构，满足业务数据增长需求。</w:t>
      </w:r>
    </w:p>
    <w:p w14:paraId="0247CBD7">
      <w:pPr>
        <w:rPr>
          <w:rFonts w:hint="eastAsia"/>
        </w:rPr>
      </w:pPr>
      <w:r>
        <w:rPr>
          <w:rFonts w:hint="eastAsia"/>
        </w:rPr>
        <w:t>实现数据冗余、负载均衡，保障业务连续性。</w:t>
      </w:r>
    </w:p>
    <w:p w14:paraId="1DD5B7C4">
      <w:pPr>
        <w:rPr>
          <w:rFonts w:hint="eastAsia"/>
        </w:rPr>
      </w:pPr>
    </w:p>
    <w:p w14:paraId="0945F1BF">
      <w:pPr>
        <w:rPr>
          <w:rFonts w:hint="eastAsia"/>
        </w:rPr>
      </w:pPr>
      <w:r>
        <w:rPr>
          <w:rFonts w:hint="eastAsia"/>
        </w:rPr>
        <w:t>提供弹性扩展能力，适应未来业务发展。</w:t>
      </w:r>
    </w:p>
    <w:p w14:paraId="10C7AFD2">
      <w:pPr>
        <w:rPr>
          <w:rFonts w:hint="eastAsia"/>
        </w:rPr>
      </w:pPr>
    </w:p>
    <w:p w14:paraId="0EF88357">
      <w:pPr>
        <w:rPr>
          <w:rFonts w:hint="eastAsia"/>
        </w:rPr>
      </w:pPr>
      <w:r>
        <w:rPr>
          <w:rFonts w:hint="eastAsia"/>
        </w:rPr>
        <w:t>2. 实施步骤</w:t>
      </w:r>
    </w:p>
    <w:p w14:paraId="6571A837">
      <w:pPr>
        <w:rPr>
          <w:rFonts w:hint="eastAsia"/>
        </w:rPr>
      </w:pPr>
      <w:r>
        <w:rPr>
          <w:rFonts w:hint="eastAsia"/>
        </w:rPr>
        <w:t>（1）需求调研与方案设计</w:t>
      </w:r>
    </w:p>
    <w:p w14:paraId="3AE53723">
      <w:pPr>
        <w:rPr>
          <w:rFonts w:hint="eastAsia"/>
        </w:rPr>
      </w:pPr>
      <w:r>
        <w:rPr>
          <w:rFonts w:hint="eastAsia"/>
        </w:rPr>
        <w:t>调研现有存储架构及业务需求，制定适配的分布式存储方案。</w:t>
      </w:r>
    </w:p>
    <w:p w14:paraId="2D0A86CA">
      <w:pPr>
        <w:rPr>
          <w:rFonts w:hint="eastAsia"/>
        </w:rPr>
      </w:pPr>
      <w:r>
        <w:rPr>
          <w:rFonts w:hint="eastAsia"/>
        </w:rPr>
        <w:t>设计存储集群架构（如Ceph、HDFS、GlusterFS等），确定节点规模、网络配置及数据分布策略。</w:t>
      </w:r>
    </w:p>
    <w:p w14:paraId="223689FA">
      <w:pPr>
        <w:rPr>
          <w:rFonts w:hint="eastAsia"/>
        </w:rPr>
      </w:pPr>
      <w:r>
        <w:rPr>
          <w:rFonts w:hint="eastAsia"/>
        </w:rPr>
        <w:t>（2）环境准备</w:t>
      </w:r>
    </w:p>
    <w:p w14:paraId="064DBEED">
      <w:pPr>
        <w:rPr>
          <w:rFonts w:hint="eastAsia"/>
        </w:rPr>
      </w:pPr>
      <w:r>
        <w:rPr>
          <w:rFonts w:hint="eastAsia"/>
        </w:rPr>
        <w:t>硬件部署：配置服务器、存储节点、网络设备等。</w:t>
      </w:r>
    </w:p>
    <w:p w14:paraId="267EE3D7">
      <w:pPr>
        <w:rPr>
          <w:rFonts w:hint="eastAsia"/>
        </w:rPr>
      </w:pPr>
      <w:r>
        <w:rPr>
          <w:rFonts w:hint="eastAsia"/>
        </w:rPr>
        <w:t>软件安装：部署分布式存储软件，配置管理平台。</w:t>
      </w:r>
    </w:p>
    <w:p w14:paraId="74C4DB72">
      <w:pPr>
        <w:rPr>
          <w:rFonts w:hint="eastAsia"/>
        </w:rPr>
      </w:pPr>
      <w:r>
        <w:rPr>
          <w:rFonts w:hint="eastAsia"/>
        </w:rPr>
        <w:t>（3）系统部署与调优</w:t>
      </w:r>
    </w:p>
    <w:p w14:paraId="27F70004">
      <w:pPr>
        <w:rPr>
          <w:rFonts w:hint="eastAsia"/>
        </w:rPr>
      </w:pPr>
      <w:r>
        <w:rPr>
          <w:rFonts w:hint="eastAsia"/>
        </w:rPr>
        <w:t>搭建存储集群，配置数据副本、纠删码（EC）等冗余策略。</w:t>
      </w:r>
    </w:p>
    <w:p w14:paraId="5D9CD725">
      <w:pPr>
        <w:rPr>
          <w:rFonts w:hint="eastAsia"/>
        </w:rPr>
      </w:pPr>
      <w:r>
        <w:rPr>
          <w:rFonts w:hint="eastAsia"/>
        </w:rPr>
        <w:t>优化存储性能，调整I/O调度、缓存策略等参数。</w:t>
      </w:r>
    </w:p>
    <w:p w14:paraId="24D7B8D0">
      <w:pPr>
        <w:rPr>
          <w:rFonts w:hint="eastAsia"/>
        </w:rPr>
      </w:pPr>
      <w:r>
        <w:rPr>
          <w:rFonts w:hint="eastAsia"/>
        </w:rPr>
        <w:t>（4）数据迁移（如适用）</w:t>
      </w:r>
    </w:p>
    <w:p w14:paraId="53F2000E">
      <w:pPr>
        <w:rPr>
          <w:rFonts w:hint="eastAsia"/>
        </w:rPr>
      </w:pPr>
      <w:r>
        <w:rPr>
          <w:rFonts w:hint="eastAsia"/>
        </w:rPr>
        <w:t>制定迁移计划，确保业务无感知切换。</w:t>
      </w:r>
    </w:p>
    <w:p w14:paraId="43CB1E41">
      <w:pPr>
        <w:rPr>
          <w:rFonts w:hint="eastAsia"/>
        </w:rPr>
      </w:pPr>
      <w:r>
        <w:rPr>
          <w:rFonts w:hint="eastAsia"/>
        </w:rPr>
        <w:t>采用增量同步或双写机制，保障数据一致性。</w:t>
      </w:r>
    </w:p>
    <w:p w14:paraId="3307F618">
      <w:pPr>
        <w:rPr>
          <w:rFonts w:hint="eastAsia"/>
        </w:rPr>
      </w:pPr>
      <w:r>
        <w:rPr>
          <w:rFonts w:hint="eastAsia"/>
        </w:rPr>
        <w:t>（5）测试与验收</w:t>
      </w:r>
    </w:p>
    <w:p w14:paraId="2D69E417">
      <w:pPr>
        <w:rPr>
          <w:rFonts w:hint="eastAsia"/>
        </w:rPr>
      </w:pPr>
      <w:r>
        <w:rPr>
          <w:rFonts w:hint="eastAsia"/>
        </w:rPr>
        <w:t>进行压力测试、故障模拟，验证高可用性。</w:t>
      </w:r>
    </w:p>
    <w:p w14:paraId="5B4861A9">
      <w:pPr>
        <w:rPr>
          <w:rFonts w:hint="eastAsia"/>
        </w:rPr>
      </w:pPr>
      <w:r>
        <w:rPr>
          <w:rFonts w:hint="eastAsia"/>
        </w:rPr>
        <w:t>客户验收，确认系统满足性能及稳定性要求。</w:t>
      </w:r>
    </w:p>
    <w:p w14:paraId="61BB4B11">
      <w:pPr>
        <w:rPr>
          <w:rFonts w:hint="eastAsia"/>
        </w:rPr>
      </w:pPr>
      <w:r>
        <w:rPr>
          <w:rFonts w:hint="eastAsia"/>
        </w:rPr>
        <w:t>（6）运维交接与培训</w:t>
      </w:r>
    </w:p>
    <w:p w14:paraId="67F903DD">
      <w:pPr>
        <w:rPr>
          <w:rFonts w:hint="eastAsia"/>
        </w:rPr>
      </w:pPr>
      <w:r>
        <w:rPr>
          <w:rFonts w:hint="eastAsia"/>
        </w:rPr>
        <w:t>提供运维手册，培训管理员掌握日常管理及故障处理技能。</w:t>
      </w:r>
    </w:p>
    <w:p w14:paraId="4CCD7D71">
      <w:pPr>
        <w:rPr>
          <w:rFonts w:hint="eastAsia" w:eastAsia="仿宋"/>
          <w:lang w:eastAsia="zh-CN"/>
        </w:rPr>
      </w:pPr>
      <w:r>
        <w:rPr>
          <w:rFonts w:hint="eastAsia"/>
        </w:rPr>
        <w:t>建立长期运维支持机制</w:t>
      </w:r>
      <w:r>
        <w:rPr>
          <w:rFonts w:hint="eastAsia"/>
          <w:lang w:eastAsia="zh-CN"/>
        </w:rPr>
        <w:t>。</w:t>
      </w:r>
    </w:p>
    <w:p w14:paraId="01EE42CD">
      <w:pPr>
        <w:pStyle w:val="3"/>
        <w:numPr>
          <w:ilvl w:val="0"/>
          <w:numId w:val="0"/>
        </w:numPr>
        <w:bidi w:val="0"/>
        <w:ind w:left="0" w:leftChars="0" w:firstLine="0" w:firstLineChars="0"/>
        <w:rPr>
          <w:rFonts w:hint="default" w:eastAsia="仿宋" w:cs="微软雅黑" w:asciiTheme="minorAscii" w:hAnsiTheme="minorAscii"/>
          <w:b/>
          <w:kern w:val="44"/>
          <w:sz w:val="44"/>
          <w:szCs w:val="30"/>
          <w:lang w:val="en-US" w:eastAsia="zh-CN" w:bidi="ar-SA"/>
        </w:rPr>
      </w:pPr>
      <w:r>
        <w:rPr>
          <w:rFonts w:hint="eastAsia" w:cs="微软雅黑"/>
          <w:b/>
          <w:kern w:val="44"/>
          <w:sz w:val="44"/>
          <w:szCs w:val="30"/>
          <w:lang w:val="en-US" w:eastAsia="zh-CN" w:bidi="ar-SA"/>
        </w:rPr>
        <w:t>5</w:t>
      </w:r>
      <w:r>
        <w:rPr>
          <w:rFonts w:hint="eastAsia" w:eastAsia="仿宋" w:cs="微软雅黑" w:asciiTheme="minorAscii" w:hAnsiTheme="minorAscii"/>
          <w:b/>
          <w:kern w:val="44"/>
          <w:sz w:val="44"/>
          <w:szCs w:val="30"/>
          <w:lang w:val="en-US" w:eastAsia="zh-CN" w:bidi="ar-SA"/>
        </w:rPr>
        <w:t>、售后服务方案</w:t>
      </w:r>
    </w:p>
    <w:p w14:paraId="15BE3F6B">
      <w:pPr>
        <w:ind w:left="0" w:leftChars="0" w:firstLine="0" w:firstLineChars="0"/>
        <w:rPr>
          <w:rFonts w:hint="eastAsia"/>
        </w:rPr>
      </w:pPr>
      <w:bookmarkStart w:id="53" w:name="_GoBack"/>
      <w:bookmarkEnd w:id="53"/>
      <w:r>
        <w:rPr>
          <w:rFonts w:hint="eastAsia"/>
        </w:rPr>
        <w:t>售后服务内容</w:t>
      </w:r>
    </w:p>
    <w:p w14:paraId="485A4C92">
      <w:pPr>
        <w:ind w:left="0" w:leftChars="0" w:firstLine="0" w:firstLineChars="0"/>
        <w:rPr>
          <w:rFonts w:hint="eastAsia"/>
        </w:rPr>
      </w:pPr>
      <w:r>
        <w:rPr>
          <w:rFonts w:hint="eastAsia"/>
        </w:rPr>
        <w:t>为确保分布式存储系统稳定运行，我们提供全面的售后服务支持，包括但不限于以下内容：</w:t>
      </w:r>
    </w:p>
    <w:p w14:paraId="0B63E67D">
      <w:pPr>
        <w:numPr>
          <w:ilvl w:val="0"/>
          <w:numId w:val="2"/>
        </w:numPr>
        <w:ind w:left="420" w:leftChars="0" w:hanging="420" w:firstLineChars="0"/>
        <w:rPr>
          <w:rFonts w:hint="eastAsia"/>
        </w:rPr>
      </w:pPr>
      <w:r>
        <w:rPr>
          <w:rFonts w:hint="eastAsia"/>
        </w:rPr>
        <w:t>7×24小时技术支持：提供全天候技术响应，确保故障及时处理。</w:t>
      </w:r>
    </w:p>
    <w:p w14:paraId="695F8C26">
      <w:pPr>
        <w:numPr>
          <w:ilvl w:val="0"/>
          <w:numId w:val="2"/>
        </w:numPr>
        <w:ind w:left="420" w:leftChars="0" w:hanging="420" w:firstLineChars="0"/>
        <w:rPr>
          <w:rFonts w:hint="eastAsia"/>
        </w:rPr>
      </w:pPr>
      <w:r>
        <w:rPr>
          <w:rFonts w:hint="eastAsia"/>
        </w:rPr>
        <w:t>远程诊断与维护：通过远程方式快速定位问题，减少系统停机时间。</w:t>
      </w:r>
    </w:p>
    <w:p w14:paraId="172E9DC6">
      <w:pPr>
        <w:numPr>
          <w:ilvl w:val="0"/>
          <w:numId w:val="2"/>
        </w:numPr>
        <w:ind w:left="420" w:leftChars="0" w:hanging="420" w:firstLineChars="0"/>
        <w:rPr>
          <w:rFonts w:hint="eastAsia"/>
        </w:rPr>
      </w:pPr>
      <w:r>
        <w:rPr>
          <w:rFonts w:hint="eastAsia"/>
        </w:rPr>
        <w:t>定期巡检与健康检查：每季度或按需进行系统健康检查，优化存储性能。</w:t>
      </w:r>
    </w:p>
    <w:p w14:paraId="6052F458">
      <w:pPr>
        <w:numPr>
          <w:ilvl w:val="0"/>
          <w:numId w:val="2"/>
        </w:numPr>
        <w:ind w:left="420" w:leftChars="0" w:hanging="420" w:firstLineChars="0"/>
        <w:rPr>
          <w:rFonts w:hint="eastAsia"/>
        </w:rPr>
      </w:pPr>
      <w:r>
        <w:rPr>
          <w:rFonts w:hint="eastAsia"/>
        </w:rPr>
        <w:t>故障应急响应：针对关键业务数据，提供优先处理机制，确保数据安全。</w:t>
      </w:r>
    </w:p>
    <w:p w14:paraId="2D242FC5">
      <w:pPr>
        <w:numPr>
          <w:ilvl w:val="0"/>
          <w:numId w:val="2"/>
        </w:numPr>
        <w:ind w:left="420" w:leftChars="0" w:hanging="420" w:firstLineChars="0"/>
        <w:rPr>
          <w:rFonts w:hint="eastAsia"/>
        </w:rPr>
      </w:pPr>
      <w:r>
        <w:rPr>
          <w:rFonts w:hint="eastAsia"/>
        </w:rPr>
        <w:t>软件升级与补丁管理：定期推送系统更新，修复潜在漏洞，提升稳定性。</w:t>
      </w:r>
    </w:p>
    <w:p w14:paraId="42B35077">
      <w:pPr>
        <w:numPr>
          <w:ilvl w:val="0"/>
          <w:numId w:val="2"/>
        </w:numPr>
        <w:ind w:left="420" w:leftChars="0" w:hanging="420" w:firstLineChars="0"/>
        <w:rPr>
          <w:rFonts w:hint="eastAsia"/>
        </w:rPr>
      </w:pPr>
      <w:r>
        <w:rPr>
          <w:rFonts w:hint="eastAsia"/>
        </w:rPr>
        <w:t>数据备份与恢复支持：协助制定备份策略，并在数据丢失时提供恢复方案。</w:t>
      </w:r>
    </w:p>
    <w:p w14:paraId="5A0D43B2">
      <w:pPr>
        <w:numPr>
          <w:ilvl w:val="0"/>
          <w:numId w:val="2"/>
        </w:numPr>
        <w:ind w:left="420" w:leftChars="0" w:hanging="420" w:firstLineChars="0"/>
        <w:rPr>
          <w:rFonts w:hint="eastAsia"/>
        </w:rPr>
      </w:pPr>
      <w:r>
        <w:rPr>
          <w:rFonts w:hint="eastAsia"/>
        </w:rPr>
        <w:t>技术培训：提供存储管理、运维及故障排查培训，提升用户自主运维能力。</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3B514"/>
    <w:multiLevelType w:val="singleLevel"/>
    <w:tmpl w:val="8B93B514"/>
    <w:lvl w:ilvl="0" w:tentative="0">
      <w:start w:val="1"/>
      <w:numFmt w:val="bullet"/>
      <w:lvlText w:val=""/>
      <w:lvlJc w:val="left"/>
      <w:pPr>
        <w:ind w:left="420" w:hanging="420"/>
      </w:pPr>
      <w:rPr>
        <w:rFonts w:hint="default" w:ascii="Wingdings" w:hAnsi="Wingdings"/>
      </w:rPr>
    </w:lvl>
  </w:abstractNum>
  <w:abstractNum w:abstractNumId="1">
    <w:nsid w:val="6EF65455"/>
    <w:multiLevelType w:val="multilevel"/>
    <w:tmpl w:val="6EF65455"/>
    <w:lvl w:ilvl="0" w:tentative="0">
      <w:start w:val="1"/>
      <w:numFmt w:val="decimal"/>
      <w:pStyle w:val="3"/>
      <w:lvlText w:val="%1."/>
      <w:lvlJc w:val="left"/>
      <w:pPr>
        <w:ind w:left="0" w:firstLine="0"/>
      </w:pPr>
      <w:rPr>
        <w:rFonts w:hint="default"/>
      </w:rPr>
    </w:lvl>
    <w:lvl w:ilvl="1" w:tentative="0">
      <w:start w:val="1"/>
      <w:numFmt w:val="decimal"/>
      <w:pStyle w:val="4"/>
      <w:lvlText w:val="%1.%2."/>
      <w:lvlJc w:val="left"/>
      <w:pPr>
        <w:ind w:left="0" w:firstLine="0"/>
      </w:pPr>
      <w:rPr>
        <w:rFonts w:hint="default" w:ascii="宋体" w:hAnsi="宋体" w:eastAsia="宋体" w:cs="宋体"/>
      </w:rPr>
    </w:lvl>
    <w:lvl w:ilvl="2" w:tentative="0">
      <w:start w:val="1"/>
      <w:numFmt w:val="decimal"/>
      <w:pStyle w:val="5"/>
      <w:lvlText w:val="%1.%2.%3."/>
      <w:lvlJc w:val="left"/>
      <w:pPr>
        <w:ind w:left="0" w:firstLine="0"/>
      </w:pPr>
      <w:rPr>
        <w:rFonts w:hint="default" w:ascii="宋体" w:hAnsi="宋体" w:eastAsia="宋体" w:cs="宋体"/>
      </w:rPr>
    </w:lvl>
    <w:lvl w:ilvl="3" w:tentative="0">
      <w:start w:val="1"/>
      <w:numFmt w:val="decimal"/>
      <w:pStyle w:val="6"/>
      <w:lvlText w:val="%1.%2.%3.%4."/>
      <w:lvlJc w:val="left"/>
      <w:pPr>
        <w:ind w:left="0" w:firstLine="0"/>
      </w:pPr>
      <w:rPr>
        <w:rFonts w:hint="default" w:ascii="宋体" w:hAnsi="宋体" w:eastAsia="宋体" w:cs="宋体"/>
      </w:rPr>
    </w:lvl>
    <w:lvl w:ilvl="4" w:tentative="0">
      <w:start w:val="1"/>
      <w:numFmt w:val="decimal"/>
      <w:pStyle w:val="7"/>
      <w:lvlText w:val="%1.%2.%3.%4.%5."/>
      <w:lvlJc w:val="left"/>
      <w:pPr>
        <w:ind w:left="0" w:firstLine="0"/>
      </w:pPr>
      <w:rPr>
        <w:rFonts w:hint="default" w:ascii="宋体" w:hAnsi="宋体" w:eastAsia="宋体" w:cs="宋体"/>
      </w:rPr>
    </w:lvl>
    <w:lvl w:ilvl="5" w:tentative="0">
      <w:start w:val="1"/>
      <w:numFmt w:val="decimal"/>
      <w:pStyle w:val="8"/>
      <w:lvlText w:val="%1.%2.%3.%4.%5.%6."/>
      <w:lvlJc w:val="left"/>
      <w:pPr>
        <w:ind w:left="0" w:firstLine="0"/>
      </w:pPr>
      <w:rPr>
        <w:rFonts w:hint="default" w:ascii="宋体" w:hAnsi="宋体" w:eastAsia="宋体" w:cs="宋体"/>
      </w:rPr>
    </w:lvl>
    <w:lvl w:ilvl="6" w:tentative="0">
      <w:start w:val="1"/>
      <w:numFmt w:val="decimal"/>
      <w:lvlText w:val="%1.%2.%3.%4.%5.%6.%7."/>
      <w:lvlJc w:val="left"/>
      <w:pPr>
        <w:ind w:left="0" w:firstLine="0"/>
      </w:pPr>
      <w:rPr>
        <w:rFonts w:hint="default"/>
      </w:rPr>
    </w:lvl>
    <w:lvl w:ilvl="7" w:tentative="0">
      <w:start w:val="1"/>
      <w:numFmt w:val="decimal"/>
      <w:lvlText w:val="%1.%2.%3.%4.%5.%6.%7.%8."/>
      <w:lvlJc w:val="left"/>
      <w:pPr>
        <w:ind w:left="0" w:firstLine="0"/>
      </w:pPr>
      <w:rPr>
        <w:rFonts w:hint="default"/>
      </w:rPr>
    </w:lvl>
    <w:lvl w:ilvl="8" w:tentative="0">
      <w:start w:val="1"/>
      <w:numFmt w:val="decimal"/>
      <w:lvlText w:val="%1.%2.%3.%4.%5.%6.%7.%8.%9."/>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NjRiOGVjNGQ4OGM0YzEzYzQ1MWZkNTM4MWNiNmEifQ=="/>
  </w:docVars>
  <w:rsids>
    <w:rsidRoot w:val="7A915DAE"/>
    <w:rsid w:val="002B2723"/>
    <w:rsid w:val="00545D91"/>
    <w:rsid w:val="00B4204E"/>
    <w:rsid w:val="02985DC6"/>
    <w:rsid w:val="044A132D"/>
    <w:rsid w:val="073D3FFB"/>
    <w:rsid w:val="07B12D35"/>
    <w:rsid w:val="08A94889"/>
    <w:rsid w:val="0E362C73"/>
    <w:rsid w:val="0F734C35"/>
    <w:rsid w:val="1040598E"/>
    <w:rsid w:val="12E42E00"/>
    <w:rsid w:val="14A6150F"/>
    <w:rsid w:val="17165436"/>
    <w:rsid w:val="17667DE9"/>
    <w:rsid w:val="189D42EF"/>
    <w:rsid w:val="1BF400B9"/>
    <w:rsid w:val="1C1F6B45"/>
    <w:rsid w:val="21987FFF"/>
    <w:rsid w:val="253531E2"/>
    <w:rsid w:val="274C6FFB"/>
    <w:rsid w:val="29104C1F"/>
    <w:rsid w:val="2C730B86"/>
    <w:rsid w:val="2D5D6756"/>
    <w:rsid w:val="2FCB3C39"/>
    <w:rsid w:val="32745913"/>
    <w:rsid w:val="35507CB7"/>
    <w:rsid w:val="363870C8"/>
    <w:rsid w:val="392233D3"/>
    <w:rsid w:val="399D38BE"/>
    <w:rsid w:val="3C821291"/>
    <w:rsid w:val="437454B8"/>
    <w:rsid w:val="45085559"/>
    <w:rsid w:val="46EA4D2D"/>
    <w:rsid w:val="473236C0"/>
    <w:rsid w:val="474C6845"/>
    <w:rsid w:val="4B7B5C6C"/>
    <w:rsid w:val="4D7F33D7"/>
    <w:rsid w:val="50CA438C"/>
    <w:rsid w:val="53825860"/>
    <w:rsid w:val="53ED0638"/>
    <w:rsid w:val="56551179"/>
    <w:rsid w:val="5A0A227A"/>
    <w:rsid w:val="5D0F7A10"/>
    <w:rsid w:val="5D5977A1"/>
    <w:rsid w:val="62791D4B"/>
    <w:rsid w:val="6EE175F6"/>
    <w:rsid w:val="70980188"/>
    <w:rsid w:val="724759C2"/>
    <w:rsid w:val="7254624C"/>
    <w:rsid w:val="72EC0317"/>
    <w:rsid w:val="78BB1252"/>
    <w:rsid w:val="79567A28"/>
    <w:rsid w:val="7A0D5743"/>
    <w:rsid w:val="7A747736"/>
    <w:rsid w:val="7A915DAE"/>
    <w:rsid w:val="7CF624BE"/>
    <w:rsid w:val="7D5269A4"/>
    <w:rsid w:val="7FC20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20" w:firstLineChars="200"/>
      <w:jc w:val="both"/>
    </w:pPr>
    <w:rPr>
      <w:rFonts w:eastAsia="仿宋" w:cs="微软雅黑" w:asciiTheme="minorAscii" w:hAnsiTheme="minorAscii"/>
      <w:kern w:val="2"/>
      <w:sz w:val="28"/>
      <w:szCs w:val="30"/>
      <w:lang w:val="en-US" w:eastAsia="zh-CN" w:bidi="ar-SA"/>
    </w:rPr>
  </w:style>
  <w:style w:type="paragraph" w:styleId="3">
    <w:name w:val="heading 1"/>
    <w:basedOn w:val="1"/>
    <w:next w:val="1"/>
    <w:qFormat/>
    <w:uiPriority w:val="0"/>
    <w:pPr>
      <w:keepNext/>
      <w:keepLines/>
      <w:numPr>
        <w:ilvl w:val="0"/>
        <w:numId w:val="1"/>
      </w:numPr>
      <w:spacing w:before="340" w:after="330" w:line="576" w:lineRule="auto"/>
      <w:ind w:firstLineChars="0"/>
      <w:outlineLvl w:val="0"/>
    </w:pPr>
    <w:rPr>
      <w:b/>
      <w:kern w:val="44"/>
      <w:sz w:val="44"/>
    </w:rPr>
  </w:style>
  <w:style w:type="paragraph" w:styleId="4">
    <w:name w:val="heading 2"/>
    <w:basedOn w:val="1"/>
    <w:next w:val="1"/>
    <w:unhideWhenUsed/>
    <w:qFormat/>
    <w:uiPriority w:val="0"/>
    <w:pPr>
      <w:keepNext/>
      <w:keepLines/>
      <w:numPr>
        <w:ilvl w:val="1"/>
        <w:numId w:val="1"/>
      </w:numPr>
      <w:spacing w:before="260" w:after="260" w:line="413" w:lineRule="auto"/>
      <w:ind w:firstLineChars="0"/>
      <w:outlineLvl w:val="1"/>
    </w:pPr>
    <w:rPr>
      <w:rFonts w:ascii="Arial" w:hAnsi="Arial"/>
      <w:b/>
      <w:sz w:val="32"/>
    </w:rPr>
  </w:style>
  <w:style w:type="paragraph" w:styleId="5">
    <w:name w:val="heading 3"/>
    <w:basedOn w:val="1"/>
    <w:next w:val="1"/>
    <w:unhideWhenUsed/>
    <w:qFormat/>
    <w:uiPriority w:val="0"/>
    <w:pPr>
      <w:keepNext/>
      <w:keepLines/>
      <w:numPr>
        <w:ilvl w:val="2"/>
        <w:numId w:val="1"/>
      </w:numPr>
      <w:spacing w:before="260" w:after="260" w:line="413" w:lineRule="auto"/>
      <w:ind w:firstLineChars="0"/>
      <w:outlineLvl w:val="2"/>
    </w:pPr>
    <w:rPr>
      <w:rFonts w:asciiTheme="minorAscii" w:hAnsiTheme="minorAscii"/>
      <w:b/>
      <w:sz w:val="30"/>
    </w:rPr>
  </w:style>
  <w:style w:type="paragraph" w:styleId="6">
    <w:name w:val="heading 4"/>
    <w:basedOn w:val="1"/>
    <w:next w:val="1"/>
    <w:unhideWhenUsed/>
    <w:qFormat/>
    <w:uiPriority w:val="0"/>
    <w:pPr>
      <w:keepNext/>
      <w:keepLines/>
      <w:numPr>
        <w:ilvl w:val="3"/>
        <w:numId w:val="1"/>
      </w:numPr>
      <w:spacing w:before="280" w:after="290" w:line="372" w:lineRule="auto"/>
      <w:ind w:firstLineChars="0"/>
      <w:outlineLvl w:val="3"/>
    </w:pPr>
    <w:rPr>
      <w:rFonts w:ascii="Arial" w:hAnsi="Arial" w:eastAsia="黑体"/>
      <w:b/>
      <w:sz w:val="28"/>
    </w:rPr>
  </w:style>
  <w:style w:type="paragraph" w:styleId="7">
    <w:name w:val="heading 5"/>
    <w:basedOn w:val="1"/>
    <w:next w:val="1"/>
    <w:unhideWhenUsed/>
    <w:qFormat/>
    <w:uiPriority w:val="0"/>
    <w:pPr>
      <w:keepNext/>
      <w:keepLines/>
      <w:numPr>
        <w:ilvl w:val="4"/>
        <w:numId w:val="1"/>
      </w:numPr>
      <w:spacing w:before="280" w:after="290" w:line="372" w:lineRule="auto"/>
      <w:ind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Chars="0"/>
      <w:outlineLvl w:val="5"/>
    </w:pPr>
    <w:rPr>
      <w:rFonts w:ascii="Arial" w:hAnsi="Arial" w:eastAsia="黑体"/>
      <w:b/>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cstheme="minorBidi"/>
      <w:sz w:val="28"/>
      <w:szCs w:val="21"/>
    </w:rPr>
  </w:style>
  <w:style w:type="paragraph" w:styleId="9">
    <w:name w:val="Normal Indent"/>
    <w:basedOn w:val="1"/>
    <w:next w:val="10"/>
    <w:qFormat/>
    <w:uiPriority w:val="0"/>
    <w:pPr>
      <w:widowControl/>
      <w:spacing w:after="200" w:line="276" w:lineRule="auto"/>
      <w:ind w:firstLine="420"/>
      <w:jc w:val="left"/>
    </w:pPr>
    <w:rPr>
      <w:rFonts w:ascii="Calibri" w:hAnsi="Calibri" w:eastAsia="宋体"/>
      <w:kern w:val="0"/>
      <w:sz w:val="22"/>
      <w:szCs w:val="24"/>
      <w:lang w:eastAsia="en-US" w:bidi="en-US"/>
    </w:rPr>
  </w:style>
  <w:style w:type="paragraph" w:styleId="10">
    <w:name w:val="header"/>
    <w:basedOn w:val="1"/>
    <w:next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List 2"/>
    <w:basedOn w:val="1"/>
    <w:qFormat/>
    <w:uiPriority w:val="0"/>
    <w:pPr>
      <w:ind w:left="400" w:leftChars="200" w:hanging="200" w:hangingChars="200"/>
    </w:pPr>
    <w:rPr>
      <w:szCs w:val="24"/>
    </w:rPr>
  </w:style>
  <w:style w:type="paragraph" w:styleId="12">
    <w:name w:val="Normal (Web)"/>
    <w:basedOn w:val="1"/>
    <w:qFormat/>
    <w:uiPriority w:val="0"/>
    <w:pPr>
      <w:spacing w:beforeAutospacing="1" w:afterAutospacing="1"/>
      <w:jc w:val="left"/>
    </w:pPr>
    <w:rPr>
      <w:rFonts w:cs="Times New Roman"/>
      <w:kern w:val="0"/>
      <w:szCs w:val="22"/>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样式124"/>
    <w:basedOn w:val="3"/>
    <w:next w:val="1"/>
    <w:qFormat/>
    <w:uiPriority w:val="0"/>
    <w:pPr>
      <w:numPr>
        <w:numId w:val="0"/>
      </w:numPr>
    </w:pPr>
    <w:rPr>
      <w:bCs/>
      <w:szCs w:val="44"/>
    </w:rPr>
  </w:style>
  <w:style w:type="paragraph" w:customStyle="1" w:styleId="18">
    <w:name w:val="正文首缩两字"/>
    <w:basedOn w:val="1"/>
    <w:qFormat/>
    <w:uiPriority w:val="0"/>
    <w:pPr>
      <w:spacing w:line="360" w:lineRule="auto"/>
      <w:ind w:firstLine="200" w:firstLineChars="200"/>
    </w:pPr>
    <w:rPr>
      <w:rFonts w:ascii="Verdana" w:hAnsi="Verdana"/>
      <w:kern w:val="0"/>
      <w:szCs w:val="24"/>
      <w:lang w:val="zh-CN"/>
    </w:rPr>
  </w:style>
  <w:style w:type="paragraph" w:customStyle="1" w:styleId="19">
    <w:name w:val="列出段落1"/>
    <w:basedOn w:val="1"/>
    <w:qFormat/>
    <w:uiPriority w:val="34"/>
    <w:pPr>
      <w:ind w:firstLine="420"/>
    </w:pPr>
    <w:rPr>
      <w:rFonts w:eastAsia="宋体" w:cs="Calibri"/>
      <w:color w:val="000000"/>
      <w:kern w:val="1"/>
      <w:sz w:val="20"/>
    </w:rPr>
  </w:style>
  <w:style w:type="paragraph" w:styleId="20">
    <w:name w:val="List Paragraph"/>
    <w:basedOn w:val="1"/>
    <w:qFormat/>
    <w:uiPriority w:val="34"/>
    <w:pPr>
      <w:ind w:firstLine="420" w:firstLineChars="200"/>
    </w:pPr>
  </w:style>
  <w:style w:type="paragraph" w:customStyle="1" w:styleId="21">
    <w:name w:val="标题 3（绿盟科技）"/>
    <w:basedOn w:val="22"/>
    <w:next w:val="1"/>
    <w:qFormat/>
    <w:uiPriority w:val="99"/>
    <w:pPr>
      <w:tabs>
        <w:tab w:val="left" w:pos="425"/>
        <w:tab w:val="left" w:pos="960"/>
        <w:tab w:val="left" w:pos="1418"/>
      </w:tabs>
      <w:spacing w:before="120" w:after="120" w:line="360" w:lineRule="auto"/>
      <w:ind w:left="0" w:firstLine="0"/>
      <w:jc w:val="left"/>
    </w:pPr>
    <w:rPr>
      <w:rFonts w:ascii="Arial" w:hAnsi="Arial" w:eastAsia="黑体"/>
      <w:bCs w:val="0"/>
      <w:sz w:val="30"/>
      <w:szCs w:val="30"/>
    </w:rPr>
  </w:style>
  <w:style w:type="paragraph" w:customStyle="1" w:styleId="22">
    <w:name w:val="标题 31"/>
    <w:basedOn w:val="1"/>
    <w:next w:val="1"/>
    <w:unhideWhenUsed/>
    <w:qFormat/>
    <w:uiPriority w:val="0"/>
    <w:pPr>
      <w:keepNext/>
      <w:keepLines/>
      <w:tabs>
        <w:tab w:val="left" w:pos="425"/>
        <w:tab w:val="left" w:pos="1418"/>
      </w:tabs>
      <w:spacing w:before="260" w:after="260" w:line="416" w:lineRule="auto"/>
      <w:ind w:left="1418" w:hanging="567"/>
      <w:outlineLvl w:val="2"/>
    </w:pPr>
    <w:rPr>
      <w:rFonts w:ascii="仿宋" w:hAnsi="仿宋" w:eastAsia="宋体"/>
      <w:b/>
      <w:bCs/>
      <w:color w:val="000000"/>
      <w:kern w:val="0"/>
      <w:sz w:val="28"/>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867</Words>
  <Characters>895</Characters>
  <Lines>1</Lines>
  <Paragraphs>1</Paragraphs>
  <TotalTime>15</TotalTime>
  <ScaleCrop>false</ScaleCrop>
  <LinksUpToDate>false</LinksUpToDate>
  <CharactersWithSpaces>900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2023-06-03T00:12:00Z</dcterms:created>
  <dc:creator>姥姥</dc:creator>
  <cp:lastModifiedBy>Mr.Dai</cp:lastModifiedBy>
  <dcterms:modified xsi:type="dcterms:W3CDTF">2025-08-11T08:05:04Z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CAB0FD4797B54BCCB3AEA3AB2A7C927E_13</vt:lpwstr>
  </property>
  <property fmtid="{D5CDD505-2E9C-101B-9397-08002B2CF9AE}" pid="4" name="KSOTemplateDocerSaveRecord">
    <vt:lpwstr>eyJoZGlkIjoiZGEyNjRiOGVjNGQ4OGM0YzEzYzQ1MWZkNTM4MWNiNmEiLCJ1c2VySWQiOiIyNTExMTczMjYifQ==</vt:lpwstr>
  </property>
</Properties>
</file>